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D04B0A" w14:textId="77777777" w:rsidR="00DE2DCC" w:rsidRPr="00DA3515" w:rsidRDefault="00DE2DCC" w:rsidP="00DE2DCC">
      <w:pPr>
        <w:widowControl w:val="0"/>
        <w:autoSpaceDE w:val="0"/>
        <w:autoSpaceDN w:val="0"/>
        <w:adjustRightInd w:val="0"/>
        <w:spacing w:line="280" w:lineRule="atLeast"/>
        <w:rPr>
          <w:rFonts w:ascii="Arial" w:hAnsi="Arial" w:cs="Arial"/>
          <w:sz w:val="22"/>
          <w:szCs w:val="22"/>
        </w:rPr>
      </w:pPr>
      <w:r w:rsidRPr="00DA3515">
        <w:rPr>
          <w:rFonts w:ascii="Arial" w:hAnsi="Arial" w:cs="Arial"/>
          <w:noProof/>
          <w:sz w:val="22"/>
          <w:szCs w:val="22"/>
          <w:lang w:val="de-CH" w:eastAsia="de-CH"/>
        </w:rPr>
        <w:drawing>
          <wp:inline distT="0" distB="0" distL="0" distR="0" wp14:anchorId="00BE1D6E" wp14:editId="187BA94E">
            <wp:extent cx="1100455" cy="7366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00455" cy="736600"/>
                    </a:xfrm>
                    <a:prstGeom prst="rect">
                      <a:avLst/>
                    </a:prstGeom>
                    <a:noFill/>
                    <a:ln>
                      <a:noFill/>
                    </a:ln>
                  </pic:spPr>
                </pic:pic>
              </a:graphicData>
            </a:graphic>
          </wp:inline>
        </w:drawing>
      </w:r>
    </w:p>
    <w:p w14:paraId="28DB84C4" w14:textId="4C01077E" w:rsidR="00DE2DCC" w:rsidRPr="00DA3515" w:rsidRDefault="00DE2DCC" w:rsidP="00DE2DCC">
      <w:pPr>
        <w:widowControl w:val="0"/>
        <w:autoSpaceDE w:val="0"/>
        <w:autoSpaceDN w:val="0"/>
        <w:adjustRightInd w:val="0"/>
        <w:spacing w:after="240" w:line="260" w:lineRule="atLeast"/>
        <w:rPr>
          <w:rFonts w:ascii="Arial" w:hAnsi="Arial" w:cs="Arial"/>
          <w:sz w:val="22"/>
          <w:szCs w:val="22"/>
        </w:rPr>
      </w:pPr>
      <w:r w:rsidRPr="00DA3515">
        <w:rPr>
          <w:rFonts w:ascii="Arial" w:hAnsi="Arial" w:cs="Arial"/>
          <w:b/>
          <w:bCs/>
          <w:color w:val="35670D"/>
          <w:sz w:val="22"/>
          <w:szCs w:val="22"/>
        </w:rPr>
        <w:t>POSITION</w:t>
      </w:r>
      <w:r w:rsidR="00FB7FC7" w:rsidRPr="00DA3515">
        <w:rPr>
          <w:rFonts w:ascii="Arial" w:hAnsi="Arial" w:cs="Arial"/>
          <w:b/>
          <w:bCs/>
          <w:color w:val="35670D"/>
          <w:sz w:val="22"/>
          <w:szCs w:val="22"/>
        </w:rPr>
        <w:t xml:space="preserve"> UND ATOMENERGIEAUSSTIEGSINITIATIVE DER</w:t>
      </w:r>
      <w:r w:rsidRPr="00DA3515">
        <w:rPr>
          <w:rFonts w:ascii="Arial" w:hAnsi="Arial" w:cs="Arial"/>
          <w:b/>
          <w:bCs/>
          <w:color w:val="35670D"/>
          <w:sz w:val="22"/>
          <w:szCs w:val="22"/>
        </w:rPr>
        <w:t xml:space="preserve"> GRÜNEN </w:t>
      </w:r>
    </w:p>
    <w:p w14:paraId="08812DA5" w14:textId="77777777" w:rsidR="00DE2DCC" w:rsidRPr="00DA3515" w:rsidRDefault="00DE2DCC" w:rsidP="00DE2DCC">
      <w:pPr>
        <w:widowControl w:val="0"/>
        <w:autoSpaceDE w:val="0"/>
        <w:autoSpaceDN w:val="0"/>
        <w:adjustRightInd w:val="0"/>
        <w:spacing w:after="240" w:line="680" w:lineRule="atLeast"/>
        <w:rPr>
          <w:rFonts w:ascii="Arial" w:hAnsi="Arial" w:cs="Arial"/>
          <w:b/>
          <w:bCs/>
          <w:color w:val="D80067"/>
          <w:sz w:val="32"/>
          <w:szCs w:val="32"/>
        </w:rPr>
      </w:pPr>
      <w:r w:rsidRPr="00DA3515">
        <w:rPr>
          <w:rFonts w:ascii="Arial" w:hAnsi="Arial" w:cs="Arial"/>
          <w:b/>
          <w:bCs/>
          <w:color w:val="D80067"/>
          <w:sz w:val="32"/>
          <w:szCs w:val="32"/>
        </w:rPr>
        <w:t xml:space="preserve">Stopp Atom </w:t>
      </w:r>
    </w:p>
    <w:p w14:paraId="6A42140A" w14:textId="7C1F692E" w:rsidR="00A66762" w:rsidRDefault="00DE2DCC" w:rsidP="00DE2DCC">
      <w:pPr>
        <w:rPr>
          <w:rFonts w:ascii="Arial" w:hAnsi="Arial" w:cs="Arial"/>
          <w:sz w:val="22"/>
          <w:szCs w:val="22"/>
        </w:rPr>
      </w:pPr>
      <w:r w:rsidRPr="00DA3515">
        <w:rPr>
          <w:rFonts w:ascii="Arial" w:hAnsi="Arial" w:cs="Arial"/>
          <w:sz w:val="22"/>
          <w:szCs w:val="22"/>
        </w:rPr>
        <w:t>(gekürzt und vereinfacht von Chantal Weber, LCC, ZHAW)</w:t>
      </w:r>
    </w:p>
    <w:p w14:paraId="10BC531B" w14:textId="77777777" w:rsidR="00D5094E" w:rsidRDefault="00D5094E" w:rsidP="00DE2DCC">
      <w:pPr>
        <w:rPr>
          <w:rFonts w:ascii="Arial" w:hAnsi="Arial" w:cs="Arial"/>
          <w:sz w:val="22"/>
          <w:szCs w:val="22"/>
        </w:rPr>
      </w:pPr>
    </w:p>
    <w:p w14:paraId="23CCE503" w14:textId="77777777" w:rsidR="00D5094E" w:rsidRPr="00DA3515" w:rsidRDefault="00D5094E" w:rsidP="00DE2DCC">
      <w:pPr>
        <w:rPr>
          <w:rFonts w:ascii="Arial" w:hAnsi="Arial" w:cs="Arial"/>
          <w:sz w:val="22"/>
          <w:szCs w:val="22"/>
        </w:rPr>
      </w:pPr>
      <w:bookmarkStart w:id="0" w:name="_GoBack"/>
      <w:bookmarkEnd w:id="0"/>
    </w:p>
    <w:p w14:paraId="2A573670" w14:textId="77777777" w:rsidR="00DE2DCC" w:rsidRPr="00DA3515" w:rsidRDefault="00DE2DCC" w:rsidP="00DE2DCC">
      <w:pPr>
        <w:widowControl w:val="0"/>
        <w:autoSpaceDE w:val="0"/>
        <w:autoSpaceDN w:val="0"/>
        <w:adjustRightInd w:val="0"/>
        <w:spacing w:after="240" w:line="260" w:lineRule="atLeast"/>
        <w:rPr>
          <w:rFonts w:ascii="Arial" w:hAnsi="Arial" w:cs="Arial"/>
          <w:sz w:val="22"/>
          <w:szCs w:val="22"/>
        </w:rPr>
      </w:pPr>
      <w:r w:rsidRPr="00DA3515">
        <w:rPr>
          <w:rFonts w:ascii="Arial" w:hAnsi="Arial" w:cs="Arial"/>
          <w:b/>
          <w:bCs/>
          <w:color w:val="D70065"/>
          <w:sz w:val="22"/>
          <w:szCs w:val="22"/>
        </w:rPr>
        <w:t xml:space="preserve">IN KÜRZE </w:t>
      </w:r>
    </w:p>
    <w:p w14:paraId="6ED03CA1" w14:textId="51F3BF27" w:rsidR="00DE2DCC" w:rsidRPr="00DA3515" w:rsidRDefault="00DE2DCC" w:rsidP="00DA3515">
      <w:pPr>
        <w:widowControl w:val="0"/>
        <w:autoSpaceDE w:val="0"/>
        <w:autoSpaceDN w:val="0"/>
        <w:adjustRightInd w:val="0"/>
        <w:spacing w:after="240" w:line="276" w:lineRule="auto"/>
        <w:rPr>
          <w:rFonts w:ascii="Arial" w:hAnsi="Arial" w:cs="Arial"/>
          <w:sz w:val="22"/>
          <w:szCs w:val="22"/>
        </w:rPr>
      </w:pPr>
      <w:r w:rsidRPr="00DA3515">
        <w:rPr>
          <w:rFonts w:ascii="Arial" w:hAnsi="Arial" w:cs="Arial"/>
          <w:sz w:val="22"/>
          <w:szCs w:val="22"/>
        </w:rPr>
        <w:t xml:space="preserve">Die Unfallserie im japanischen Atomkraftwerk in Fukushima hat auch in der Schweiz die Energiedebatte stark beeinflusst. Als direkte Konsequenz der japanischen Nuklearkatastrophe hat der Bundesrat durch Energieministerin Doris </w:t>
      </w:r>
      <w:proofErr w:type="spellStart"/>
      <w:r w:rsidRPr="00DA3515">
        <w:rPr>
          <w:rFonts w:ascii="Arial" w:hAnsi="Arial" w:cs="Arial"/>
          <w:sz w:val="22"/>
          <w:szCs w:val="22"/>
        </w:rPr>
        <w:t>Leuthard</w:t>
      </w:r>
      <w:proofErr w:type="spellEnd"/>
      <w:r w:rsidRPr="00DA3515">
        <w:rPr>
          <w:rFonts w:ascii="Arial" w:hAnsi="Arial" w:cs="Arial"/>
          <w:sz w:val="22"/>
          <w:szCs w:val="22"/>
        </w:rPr>
        <w:t xml:space="preserve"> die Rahmenbewilligungsgesuche für neue AKW sistiert und das Parlament hat das wichtige Signal für den Ausstieg aus der gefährlichen Atomenergie gegeben. Dennoch ist der Atomausstieg noch nicht unter Dach und Fach und die Grüne</w:t>
      </w:r>
      <w:r w:rsidR="009A0C5A" w:rsidRPr="00DA3515">
        <w:rPr>
          <w:rFonts w:ascii="Arial" w:hAnsi="Arial" w:cs="Arial"/>
          <w:sz w:val="22"/>
          <w:szCs w:val="22"/>
        </w:rPr>
        <w:t>-</w:t>
      </w:r>
      <w:r w:rsidRPr="00DA3515">
        <w:rPr>
          <w:rFonts w:ascii="Arial" w:hAnsi="Arial" w:cs="Arial"/>
          <w:sz w:val="22"/>
          <w:szCs w:val="22"/>
        </w:rPr>
        <w:t>Atomausstiegsinitiative bleibt wichtig.</w:t>
      </w:r>
    </w:p>
    <w:p w14:paraId="45B2D371" w14:textId="0850D53E" w:rsidR="00DE2DCC" w:rsidRPr="00DA3515" w:rsidRDefault="00DE2DCC" w:rsidP="00DE2DCC">
      <w:pPr>
        <w:widowControl w:val="0"/>
        <w:autoSpaceDE w:val="0"/>
        <w:autoSpaceDN w:val="0"/>
        <w:adjustRightInd w:val="0"/>
        <w:spacing w:after="240" w:line="260" w:lineRule="atLeast"/>
        <w:rPr>
          <w:rFonts w:ascii="Arial" w:hAnsi="Arial" w:cs="Arial"/>
          <w:sz w:val="22"/>
          <w:szCs w:val="22"/>
        </w:rPr>
      </w:pPr>
      <w:r w:rsidRPr="00DA3515">
        <w:rPr>
          <w:rFonts w:ascii="Arial" w:hAnsi="Arial" w:cs="Arial"/>
          <w:b/>
          <w:bCs/>
          <w:color w:val="D70065"/>
          <w:sz w:val="22"/>
          <w:szCs w:val="22"/>
        </w:rPr>
        <w:t>GRÜNE</w:t>
      </w:r>
      <w:r w:rsidR="009A0C5A" w:rsidRPr="00DA3515">
        <w:rPr>
          <w:rFonts w:ascii="Arial" w:hAnsi="Arial" w:cs="Arial"/>
          <w:b/>
          <w:bCs/>
          <w:color w:val="D70065"/>
          <w:sz w:val="22"/>
          <w:szCs w:val="22"/>
        </w:rPr>
        <w:t>-</w:t>
      </w:r>
      <w:r w:rsidRPr="00DA3515">
        <w:rPr>
          <w:rFonts w:ascii="Arial" w:hAnsi="Arial" w:cs="Arial"/>
          <w:b/>
          <w:bCs/>
          <w:color w:val="D70065"/>
          <w:sz w:val="22"/>
          <w:szCs w:val="22"/>
        </w:rPr>
        <w:t xml:space="preserve">ATOMAUSSTIEGSINITIATIVE BLEIBT WEITERHIN NÖTIG </w:t>
      </w:r>
    </w:p>
    <w:p w14:paraId="78665FB4" w14:textId="77777777" w:rsidR="00DE2DCC" w:rsidRPr="00A82D7A" w:rsidRDefault="00DE2DCC" w:rsidP="00DA3515">
      <w:pPr>
        <w:widowControl w:val="0"/>
        <w:autoSpaceDE w:val="0"/>
        <w:autoSpaceDN w:val="0"/>
        <w:adjustRightInd w:val="0"/>
        <w:spacing w:after="240" w:line="276" w:lineRule="auto"/>
        <w:rPr>
          <w:rFonts w:ascii="Arial" w:hAnsi="Arial" w:cs="Arial"/>
          <w:sz w:val="22"/>
          <w:szCs w:val="22"/>
          <w:lang w:val="de-CH"/>
        </w:rPr>
      </w:pPr>
      <w:r w:rsidRPr="00A82D7A">
        <w:rPr>
          <w:rFonts w:ascii="Arial" w:hAnsi="Arial" w:cs="Arial"/>
          <w:sz w:val="22"/>
          <w:szCs w:val="22"/>
          <w:lang w:val="de-CH"/>
        </w:rPr>
        <w:t xml:space="preserve">Die Grünen fordern vom Nationalrat, dass er in der Wintersession endlich den Atomausstieg beschliesst. Kein AKW darf länger als 45 Jahre am Netz bleiben. Die geplante Endlosverlängerung ist ein grosses Sicherheitsrisiko. Nur mit verbindlichen Abschaltterminen wird rechtzeitig in erneuerbare Energien investiert. </w:t>
      </w:r>
    </w:p>
    <w:p w14:paraId="0A726B70" w14:textId="77777777" w:rsidR="00DE2DCC" w:rsidRPr="00DA3515" w:rsidRDefault="00DE2DCC" w:rsidP="00DA3515">
      <w:pPr>
        <w:widowControl w:val="0"/>
        <w:autoSpaceDE w:val="0"/>
        <w:autoSpaceDN w:val="0"/>
        <w:adjustRightInd w:val="0"/>
        <w:spacing w:after="240" w:line="276" w:lineRule="auto"/>
        <w:rPr>
          <w:rFonts w:ascii="Arial" w:hAnsi="Arial" w:cs="Arial"/>
          <w:sz w:val="22"/>
          <w:szCs w:val="22"/>
        </w:rPr>
      </w:pPr>
      <w:r w:rsidRPr="00DA3515">
        <w:rPr>
          <w:rFonts w:ascii="Arial" w:hAnsi="Arial" w:cs="Arial"/>
          <w:sz w:val="22"/>
          <w:szCs w:val="22"/>
        </w:rPr>
        <w:t xml:space="preserve">In der Schweiz stehen die ältesten AKW der Welt. Nach heutigen Sicherheitsstandards dürften sie gar nicht mehr gebaut werden. </w:t>
      </w:r>
      <w:r w:rsidR="00CE030D" w:rsidRPr="00DA3515">
        <w:rPr>
          <w:rFonts w:ascii="Arial" w:hAnsi="Arial" w:cs="Arial"/>
          <w:sz w:val="22"/>
          <w:szCs w:val="22"/>
        </w:rPr>
        <w:t>D</w:t>
      </w:r>
      <w:r w:rsidRPr="00DA3515">
        <w:rPr>
          <w:rFonts w:ascii="Arial" w:hAnsi="Arial" w:cs="Arial"/>
          <w:sz w:val="22"/>
          <w:szCs w:val="22"/>
        </w:rPr>
        <w:t xml:space="preserve">ie Schweizer AKW </w:t>
      </w:r>
      <w:r w:rsidR="00CE030D" w:rsidRPr="00DA3515">
        <w:rPr>
          <w:rFonts w:ascii="Arial" w:hAnsi="Arial" w:cs="Arial"/>
          <w:sz w:val="22"/>
          <w:szCs w:val="22"/>
        </w:rPr>
        <w:t xml:space="preserve">gelten als </w:t>
      </w:r>
      <w:r w:rsidRPr="00DA3515">
        <w:rPr>
          <w:rFonts w:ascii="Arial" w:hAnsi="Arial" w:cs="Arial"/>
          <w:sz w:val="22"/>
          <w:szCs w:val="22"/>
        </w:rPr>
        <w:t xml:space="preserve">10- bis 20mal gefährlicher als AKW, </w:t>
      </w:r>
      <w:r w:rsidR="00CE030D" w:rsidRPr="00DA3515">
        <w:rPr>
          <w:rFonts w:ascii="Arial" w:hAnsi="Arial" w:cs="Arial"/>
          <w:sz w:val="22"/>
          <w:szCs w:val="22"/>
        </w:rPr>
        <w:t>die</w:t>
      </w:r>
      <w:r w:rsidRPr="00DA3515">
        <w:rPr>
          <w:rFonts w:ascii="Arial" w:hAnsi="Arial" w:cs="Arial"/>
          <w:sz w:val="22"/>
          <w:szCs w:val="22"/>
        </w:rPr>
        <w:t xml:space="preserve"> auf dem neusten Stand der Technik sind. Je älter ein AKW ist, desto grösser ist das Risiko einer Atomkatastrophe. </w:t>
      </w:r>
    </w:p>
    <w:p w14:paraId="4A4DAD46" w14:textId="77777777" w:rsidR="00DA3515" w:rsidRPr="00A82D7A" w:rsidRDefault="00DE2DCC" w:rsidP="00DA3515">
      <w:pPr>
        <w:widowControl w:val="0"/>
        <w:autoSpaceDE w:val="0"/>
        <w:autoSpaceDN w:val="0"/>
        <w:adjustRightInd w:val="0"/>
        <w:spacing w:after="240" w:line="276" w:lineRule="auto"/>
        <w:rPr>
          <w:rFonts w:ascii="Arial" w:hAnsi="Arial" w:cs="Arial"/>
          <w:sz w:val="22"/>
          <w:szCs w:val="22"/>
          <w:lang w:val="de-CH"/>
        </w:rPr>
      </w:pPr>
      <w:r w:rsidRPr="00A82D7A">
        <w:rPr>
          <w:rFonts w:ascii="Arial" w:hAnsi="Arial" w:cs="Arial"/>
          <w:sz w:val="22"/>
          <w:szCs w:val="22"/>
          <w:lang w:val="de-CH"/>
        </w:rPr>
        <w:t xml:space="preserve">Die Atomkraft ist ein unkontrollierbares und tödliches Risiko. Das hat nicht nur Fukushima gezeigt. Auch in der Schweiz reissen die Schadensberichte und Meldungen zu Zwischenfällen nicht ab: </w:t>
      </w:r>
    </w:p>
    <w:p w14:paraId="36517FEB" w14:textId="20FD3777" w:rsidR="00DE2DCC" w:rsidRPr="00A82D7A" w:rsidRDefault="00DE2DCC" w:rsidP="00DA3515">
      <w:pPr>
        <w:pStyle w:val="Listenabsatz"/>
        <w:widowControl w:val="0"/>
        <w:numPr>
          <w:ilvl w:val="0"/>
          <w:numId w:val="3"/>
        </w:numPr>
        <w:autoSpaceDE w:val="0"/>
        <w:autoSpaceDN w:val="0"/>
        <w:adjustRightInd w:val="0"/>
        <w:spacing w:after="240" w:line="276" w:lineRule="auto"/>
        <w:rPr>
          <w:rFonts w:ascii="Arial" w:hAnsi="Arial" w:cs="Arial"/>
          <w:sz w:val="22"/>
          <w:szCs w:val="22"/>
          <w:lang w:val="de-CH"/>
        </w:rPr>
      </w:pPr>
      <w:r w:rsidRPr="00A82D7A">
        <w:rPr>
          <w:rFonts w:ascii="Arial" w:hAnsi="Arial" w:cs="Arial"/>
          <w:sz w:val="22"/>
          <w:szCs w:val="22"/>
          <w:lang w:val="de-CH"/>
        </w:rPr>
        <w:t xml:space="preserve">Im AKW </w:t>
      </w:r>
      <w:proofErr w:type="spellStart"/>
      <w:r w:rsidRPr="00A82D7A">
        <w:rPr>
          <w:rFonts w:ascii="Arial" w:hAnsi="Arial" w:cs="Arial"/>
          <w:sz w:val="22"/>
          <w:szCs w:val="22"/>
          <w:lang w:val="de-CH"/>
        </w:rPr>
        <w:t>Beznau</w:t>
      </w:r>
      <w:proofErr w:type="spellEnd"/>
      <w:r w:rsidRPr="00A82D7A">
        <w:rPr>
          <w:rFonts w:ascii="Arial" w:hAnsi="Arial" w:cs="Arial"/>
          <w:sz w:val="22"/>
          <w:szCs w:val="22"/>
          <w:lang w:val="de-CH"/>
        </w:rPr>
        <w:t xml:space="preserve"> sind Notstromversorgung, Not- und Nachkühlstränge ungenügend. Die Stahldruckschale des Primärcontainments ist zudem verrostet. </w:t>
      </w:r>
    </w:p>
    <w:p w14:paraId="6FA527B2" w14:textId="77777777" w:rsidR="00DE2DCC" w:rsidRPr="00A82D7A" w:rsidRDefault="00DE2DCC" w:rsidP="00DA3515">
      <w:pPr>
        <w:pStyle w:val="Listenabsatz"/>
        <w:widowControl w:val="0"/>
        <w:numPr>
          <w:ilvl w:val="0"/>
          <w:numId w:val="3"/>
        </w:numPr>
        <w:autoSpaceDE w:val="0"/>
        <w:autoSpaceDN w:val="0"/>
        <w:adjustRightInd w:val="0"/>
        <w:spacing w:after="240" w:line="276" w:lineRule="auto"/>
        <w:rPr>
          <w:rFonts w:ascii="Arial" w:hAnsi="Arial" w:cs="Arial"/>
          <w:sz w:val="22"/>
          <w:szCs w:val="22"/>
          <w:lang w:val="de-CH"/>
        </w:rPr>
      </w:pPr>
      <w:r w:rsidRPr="00A82D7A">
        <w:rPr>
          <w:rFonts w:ascii="Arial" w:hAnsi="Arial" w:cs="Arial"/>
          <w:sz w:val="22"/>
          <w:szCs w:val="22"/>
          <w:lang w:val="de-CH"/>
        </w:rPr>
        <w:t xml:space="preserve">Das 30-Minuten-Konzept wird in </w:t>
      </w:r>
      <w:proofErr w:type="spellStart"/>
      <w:r w:rsidRPr="00A82D7A">
        <w:rPr>
          <w:rFonts w:ascii="Arial" w:hAnsi="Arial" w:cs="Arial"/>
          <w:sz w:val="22"/>
          <w:szCs w:val="22"/>
          <w:lang w:val="de-CH"/>
        </w:rPr>
        <w:t>Beznau</w:t>
      </w:r>
      <w:proofErr w:type="spellEnd"/>
      <w:r w:rsidRPr="00A82D7A">
        <w:rPr>
          <w:rFonts w:ascii="Arial" w:hAnsi="Arial" w:cs="Arial"/>
          <w:sz w:val="22"/>
          <w:szCs w:val="22"/>
          <w:lang w:val="de-CH"/>
        </w:rPr>
        <w:t xml:space="preserve"> nicht eingehalten. Während der kritischen ersten 30 Minuten nach einem Störfall kann die Sicherheit daher nicht gewährleistet werden. </w:t>
      </w:r>
    </w:p>
    <w:p w14:paraId="5AD0B980" w14:textId="70455C8E" w:rsidR="009A0C5A" w:rsidRPr="00A82D7A" w:rsidRDefault="00DE2DCC" w:rsidP="00DA3515">
      <w:pPr>
        <w:pStyle w:val="Listenabsatz"/>
        <w:widowControl w:val="0"/>
        <w:numPr>
          <w:ilvl w:val="0"/>
          <w:numId w:val="3"/>
        </w:numPr>
        <w:autoSpaceDE w:val="0"/>
        <w:autoSpaceDN w:val="0"/>
        <w:adjustRightInd w:val="0"/>
        <w:spacing w:after="240" w:line="276" w:lineRule="auto"/>
        <w:rPr>
          <w:rFonts w:ascii="Arial" w:hAnsi="Arial" w:cs="Arial"/>
          <w:sz w:val="22"/>
          <w:szCs w:val="22"/>
          <w:lang w:val="de-CH"/>
        </w:rPr>
      </w:pPr>
      <w:r w:rsidRPr="00A82D7A">
        <w:rPr>
          <w:rFonts w:ascii="Arial" w:hAnsi="Arial" w:cs="Arial"/>
          <w:sz w:val="22"/>
          <w:szCs w:val="22"/>
          <w:lang w:val="de-CH"/>
        </w:rPr>
        <w:t xml:space="preserve">Der Kernmantel des AKW Mühleberg hat Risse und es fehlt nach wie vor eine erdbeben- und hochwassersichere Kühlwasserversorgung, die von der Aare unabhängig ist. </w:t>
      </w:r>
    </w:p>
    <w:p w14:paraId="2FFCA301" w14:textId="77777777" w:rsidR="00DA3515" w:rsidRPr="00DA3515" w:rsidRDefault="00DA3515" w:rsidP="00DE2DCC">
      <w:pPr>
        <w:widowControl w:val="0"/>
        <w:autoSpaceDE w:val="0"/>
        <w:autoSpaceDN w:val="0"/>
        <w:adjustRightInd w:val="0"/>
        <w:spacing w:after="240" w:line="260" w:lineRule="atLeast"/>
        <w:rPr>
          <w:rFonts w:ascii="Arial" w:hAnsi="Arial" w:cs="Arial"/>
          <w:b/>
          <w:bCs/>
          <w:sz w:val="22"/>
          <w:szCs w:val="22"/>
        </w:rPr>
      </w:pPr>
    </w:p>
    <w:p w14:paraId="31895EF7" w14:textId="77777777" w:rsidR="00DE2DCC" w:rsidRPr="00B61F33" w:rsidRDefault="00DE2DCC" w:rsidP="00DE2DCC">
      <w:pPr>
        <w:widowControl w:val="0"/>
        <w:autoSpaceDE w:val="0"/>
        <w:autoSpaceDN w:val="0"/>
        <w:adjustRightInd w:val="0"/>
        <w:spacing w:after="240" w:line="260" w:lineRule="atLeast"/>
        <w:rPr>
          <w:rFonts w:ascii="Arial" w:hAnsi="Arial" w:cs="Arial"/>
          <w:sz w:val="22"/>
          <w:szCs w:val="22"/>
          <w:lang w:val="de-CH"/>
        </w:rPr>
      </w:pPr>
      <w:r w:rsidRPr="00B61F33">
        <w:rPr>
          <w:rFonts w:ascii="Arial" w:hAnsi="Arial" w:cs="Arial"/>
          <w:b/>
          <w:bCs/>
          <w:sz w:val="22"/>
          <w:szCs w:val="22"/>
          <w:lang w:val="de-CH"/>
        </w:rPr>
        <w:t xml:space="preserve">Forderungen der Grünen an die Energiestrategie 2050 </w:t>
      </w:r>
    </w:p>
    <w:p w14:paraId="7E0CFE79" w14:textId="4BF809BC" w:rsidR="00DE2DCC" w:rsidRPr="00B61F33" w:rsidRDefault="00DE2DCC" w:rsidP="00DA3515">
      <w:pPr>
        <w:widowControl w:val="0"/>
        <w:autoSpaceDE w:val="0"/>
        <w:autoSpaceDN w:val="0"/>
        <w:adjustRightInd w:val="0"/>
        <w:spacing w:after="240" w:line="276" w:lineRule="auto"/>
        <w:rPr>
          <w:rFonts w:ascii="Arial" w:hAnsi="Arial" w:cs="Arial"/>
          <w:sz w:val="22"/>
          <w:szCs w:val="22"/>
          <w:lang w:val="de-CH"/>
        </w:rPr>
      </w:pPr>
      <w:r w:rsidRPr="00B61F33">
        <w:rPr>
          <w:rFonts w:ascii="Arial" w:hAnsi="Arial" w:cs="Arial"/>
          <w:sz w:val="22"/>
          <w:szCs w:val="22"/>
          <w:lang w:val="de-CH"/>
        </w:rPr>
        <w:t xml:space="preserve">Neben dem Atomausstieg sind auch der Klimaschutz und der Schutz der Landschaft </w:t>
      </w:r>
      <w:r w:rsidR="000635A8" w:rsidRPr="00B61F33">
        <w:rPr>
          <w:rFonts w:ascii="Arial" w:hAnsi="Arial" w:cs="Arial"/>
          <w:sz w:val="22"/>
          <w:szCs w:val="22"/>
          <w:lang w:val="de-CH"/>
        </w:rPr>
        <w:t>zentrale Anliegen</w:t>
      </w:r>
      <w:r w:rsidRPr="00B61F33">
        <w:rPr>
          <w:rFonts w:ascii="Arial" w:hAnsi="Arial" w:cs="Arial"/>
          <w:sz w:val="22"/>
          <w:szCs w:val="22"/>
          <w:lang w:val="de-CH"/>
        </w:rPr>
        <w:t xml:space="preserve"> der Schweizer Bevölkerung. Die Energiewende muss daher so gestaltet werden, dass diesen Anliegen Rechnung getragen wird. Die Grünen</w:t>
      </w:r>
      <w:r w:rsidR="000635A8" w:rsidRPr="00B61F33">
        <w:rPr>
          <w:rFonts w:ascii="Arial" w:hAnsi="Arial" w:cs="Arial"/>
          <w:sz w:val="22"/>
          <w:szCs w:val="22"/>
          <w:lang w:val="de-CH"/>
        </w:rPr>
        <w:t>-</w:t>
      </w:r>
      <w:r w:rsidRPr="00B61F33">
        <w:rPr>
          <w:rFonts w:ascii="Arial" w:hAnsi="Arial" w:cs="Arial"/>
          <w:sz w:val="22"/>
          <w:szCs w:val="22"/>
          <w:lang w:val="de-CH"/>
        </w:rPr>
        <w:t xml:space="preserve">Szenarien zeigen, dass dies möglich ist – sie basieren auf detaillierten Berechnungen. </w:t>
      </w:r>
    </w:p>
    <w:p w14:paraId="538B5281" w14:textId="5AA5BDA5" w:rsidR="00DE2DCC" w:rsidRPr="00B61F33" w:rsidRDefault="00DE2DCC" w:rsidP="00DA3515">
      <w:pPr>
        <w:widowControl w:val="0"/>
        <w:autoSpaceDE w:val="0"/>
        <w:autoSpaceDN w:val="0"/>
        <w:adjustRightInd w:val="0"/>
        <w:spacing w:after="240" w:line="276" w:lineRule="auto"/>
        <w:rPr>
          <w:rFonts w:ascii="Arial" w:hAnsi="Arial" w:cs="Arial"/>
          <w:sz w:val="22"/>
          <w:szCs w:val="22"/>
          <w:lang w:val="de-CH"/>
        </w:rPr>
      </w:pPr>
      <w:r w:rsidRPr="00B61F33">
        <w:rPr>
          <w:rFonts w:ascii="Arial" w:hAnsi="Arial" w:cs="Arial"/>
          <w:sz w:val="22"/>
          <w:szCs w:val="22"/>
          <w:lang w:val="de-CH"/>
        </w:rPr>
        <w:t xml:space="preserve">Zwar halten Bundesrat und Parlament am Atomausstieg fest, doch ist er </w:t>
      </w:r>
      <w:r w:rsidR="00A82D7A" w:rsidRPr="00B61F33">
        <w:rPr>
          <w:rFonts w:ascii="Arial" w:hAnsi="Arial" w:cs="Arial"/>
          <w:sz w:val="22"/>
          <w:szCs w:val="22"/>
          <w:lang w:val="de-CH"/>
        </w:rPr>
        <w:t xml:space="preserve">noch </w:t>
      </w:r>
      <w:r w:rsidRPr="00B61F33">
        <w:rPr>
          <w:rFonts w:ascii="Arial" w:hAnsi="Arial" w:cs="Arial"/>
          <w:sz w:val="22"/>
          <w:szCs w:val="22"/>
          <w:lang w:val="de-CH"/>
        </w:rPr>
        <w:t xml:space="preserve">zu langsam unterwegs. Es braucht mehr Anstrengungen, was die Energie-Effizienz und die Förderung erneuerbarer Energien angeht. Dann ist es möglich, die Schweizer AKW am Ende ihrer Lebensdauer von 40 Jahren, spätestens aber nach 45 Jahren abzustellen – so wie es die Atomausstiegsinitiative der Grünen fordert. Um den ökologischen Fussabdruck auf </w:t>
      </w:r>
      <w:r w:rsidR="00EE4216">
        <w:rPr>
          <w:rFonts w:ascii="Arial" w:hAnsi="Arial" w:cs="Arial"/>
          <w:sz w:val="22"/>
          <w:szCs w:val="22"/>
          <w:lang w:val="de-CH"/>
        </w:rPr>
        <w:t>der</w:t>
      </w:r>
      <w:r w:rsidRPr="00B61F33">
        <w:rPr>
          <w:rFonts w:ascii="Arial" w:hAnsi="Arial" w:cs="Arial"/>
          <w:sz w:val="22"/>
          <w:szCs w:val="22"/>
          <w:lang w:val="de-CH"/>
        </w:rPr>
        <w:t xml:space="preserve"> Erde zu </w:t>
      </w:r>
      <w:r w:rsidR="00421B39" w:rsidRPr="00B61F33">
        <w:rPr>
          <w:rFonts w:ascii="Arial" w:hAnsi="Arial" w:cs="Arial"/>
          <w:sz w:val="22"/>
          <w:szCs w:val="22"/>
          <w:lang w:val="de-CH"/>
        </w:rPr>
        <w:t>ver</w:t>
      </w:r>
      <w:r w:rsidR="00D165D3">
        <w:rPr>
          <w:rFonts w:ascii="Arial" w:hAnsi="Arial" w:cs="Arial"/>
          <w:sz w:val="22"/>
          <w:szCs w:val="22"/>
          <w:lang w:val="de-CH"/>
        </w:rPr>
        <w:t>kleinern</w:t>
      </w:r>
      <w:r w:rsidRPr="00B61F33">
        <w:rPr>
          <w:rFonts w:ascii="Arial" w:hAnsi="Arial" w:cs="Arial"/>
          <w:sz w:val="22"/>
          <w:szCs w:val="22"/>
          <w:lang w:val="de-CH"/>
        </w:rPr>
        <w:t>, sind zudem die CO</w:t>
      </w:r>
      <w:r w:rsidR="00613F04" w:rsidRPr="0098063B">
        <w:rPr>
          <w:rFonts w:ascii="Arial" w:hAnsi="Arial" w:cs="Arial"/>
          <w:position w:val="-6"/>
          <w:sz w:val="18"/>
          <w:szCs w:val="18"/>
          <w:lang w:val="de-CH"/>
        </w:rPr>
        <w:t>2</w:t>
      </w:r>
      <w:r w:rsidRPr="00B61F33">
        <w:rPr>
          <w:rFonts w:ascii="Arial" w:hAnsi="Arial" w:cs="Arial"/>
          <w:sz w:val="22"/>
          <w:szCs w:val="22"/>
          <w:lang w:val="de-CH"/>
        </w:rPr>
        <w:t>-Emissionen auf eine Tonne CO</w:t>
      </w:r>
      <w:r w:rsidR="00613F04" w:rsidRPr="0098063B">
        <w:rPr>
          <w:rFonts w:ascii="Arial" w:hAnsi="Arial" w:cs="Arial"/>
          <w:position w:val="-6"/>
          <w:sz w:val="18"/>
          <w:szCs w:val="18"/>
          <w:lang w:val="de-CH"/>
        </w:rPr>
        <w:t>2</w:t>
      </w:r>
      <w:r w:rsidRPr="00B61F33">
        <w:rPr>
          <w:rFonts w:ascii="Arial" w:hAnsi="Arial" w:cs="Arial"/>
          <w:sz w:val="22"/>
          <w:szCs w:val="22"/>
          <w:lang w:val="de-CH"/>
        </w:rPr>
        <w:t xml:space="preserve"> pro Kopf und Jahr zu reduzieren. </w:t>
      </w:r>
    </w:p>
    <w:p w14:paraId="22E90418" w14:textId="5334859F" w:rsidR="00DE2DCC" w:rsidRPr="00C04C97" w:rsidRDefault="00DE2DCC" w:rsidP="00DA3515">
      <w:pPr>
        <w:widowControl w:val="0"/>
        <w:autoSpaceDE w:val="0"/>
        <w:autoSpaceDN w:val="0"/>
        <w:adjustRightInd w:val="0"/>
        <w:spacing w:after="240" w:line="276" w:lineRule="auto"/>
        <w:rPr>
          <w:rFonts w:ascii="Arial" w:hAnsi="Arial" w:cs="Arial"/>
          <w:sz w:val="22"/>
          <w:szCs w:val="22"/>
          <w:lang w:val="de-CH"/>
        </w:rPr>
      </w:pPr>
      <w:r w:rsidRPr="00C04C97">
        <w:rPr>
          <w:rFonts w:ascii="Arial" w:hAnsi="Arial" w:cs="Arial"/>
          <w:sz w:val="22"/>
          <w:szCs w:val="22"/>
          <w:lang w:val="de-CH"/>
        </w:rPr>
        <w:t>Die Szenarien berücksichtigen im Übrigen auch die jahreszeitlichen Schwankungen in der Produktion, damit die Selbstversorgung mit Strom</w:t>
      </w:r>
      <w:r w:rsidR="009A0C5A" w:rsidRPr="00C04C97">
        <w:rPr>
          <w:rFonts w:ascii="Arial" w:hAnsi="Arial" w:cs="Arial"/>
          <w:sz w:val="22"/>
          <w:szCs w:val="22"/>
          <w:lang w:val="de-CH"/>
        </w:rPr>
        <w:t xml:space="preserve"> im Sommer wie im Winter sicher</w:t>
      </w:r>
      <w:r w:rsidRPr="00C04C97">
        <w:rPr>
          <w:rFonts w:ascii="Arial" w:hAnsi="Arial" w:cs="Arial"/>
          <w:sz w:val="22"/>
          <w:szCs w:val="22"/>
          <w:lang w:val="de-CH"/>
        </w:rPr>
        <w:t xml:space="preserve">gestellt ist. Solarstrom ist der wichtigste Pfeiler der grünen Energiewende. Um zu verhindern, dass im Winter Gaskraftwerke benötigt werden, braucht es alpine Solarstrom-Anlagen an geeigneten Standorten sowie Windenergie und Wärmekraft-Kopplung mit Biomasse. </w:t>
      </w:r>
    </w:p>
    <w:p w14:paraId="604ECF67" w14:textId="77777777" w:rsidR="00DE2DCC" w:rsidRPr="00C04C97" w:rsidRDefault="00DE2DCC" w:rsidP="00DA3515">
      <w:pPr>
        <w:widowControl w:val="0"/>
        <w:autoSpaceDE w:val="0"/>
        <w:autoSpaceDN w:val="0"/>
        <w:adjustRightInd w:val="0"/>
        <w:spacing w:after="240" w:line="276" w:lineRule="auto"/>
        <w:rPr>
          <w:rFonts w:ascii="Arial" w:hAnsi="Arial" w:cs="Arial"/>
          <w:sz w:val="22"/>
          <w:szCs w:val="22"/>
          <w:lang w:val="de-CH"/>
        </w:rPr>
      </w:pPr>
      <w:r w:rsidRPr="00C04C97">
        <w:rPr>
          <w:rFonts w:ascii="Arial" w:hAnsi="Arial" w:cs="Arial"/>
          <w:sz w:val="22"/>
          <w:szCs w:val="22"/>
          <w:lang w:val="de-CH"/>
        </w:rPr>
        <w:t xml:space="preserve">Während das „Energie-Reform“-Szenario „nur“ eine grüne Energiepolitik beinhaltet, geht das „Kurswechsel“-Szenario zusätzlich von einem Wandel in Raumplanung, Verkehrs- und Wirtschaftspolitik sowie Lebensstilen aus. </w:t>
      </w:r>
    </w:p>
    <w:p w14:paraId="65CD1D65" w14:textId="77777777" w:rsidR="00EC4791" w:rsidRPr="00DA3515" w:rsidRDefault="00EC4791" w:rsidP="00DA3515">
      <w:pPr>
        <w:widowControl w:val="0"/>
        <w:autoSpaceDE w:val="0"/>
        <w:autoSpaceDN w:val="0"/>
        <w:adjustRightInd w:val="0"/>
        <w:spacing w:after="240" w:line="276" w:lineRule="auto"/>
        <w:rPr>
          <w:rFonts w:ascii="Arial" w:hAnsi="Arial" w:cs="Arial"/>
          <w:sz w:val="22"/>
          <w:szCs w:val="22"/>
        </w:rPr>
      </w:pPr>
    </w:p>
    <w:tbl>
      <w:tblPr>
        <w:tblStyle w:val="Tabellenraster"/>
        <w:tblpPr w:leftFromText="141" w:rightFromText="141" w:vertAnchor="text" w:horzAnchor="page" w:tblpXSpec="center" w:tblpY="8"/>
        <w:tblW w:w="0" w:type="auto"/>
        <w:tblLook w:val="04A0" w:firstRow="1" w:lastRow="0" w:firstColumn="1" w:lastColumn="0" w:noHBand="0" w:noVBand="1"/>
      </w:tblPr>
      <w:tblGrid>
        <w:gridCol w:w="5670"/>
      </w:tblGrid>
      <w:tr w:rsidR="00EC4791" w:rsidRPr="00DA3515" w14:paraId="7F62795B" w14:textId="77777777" w:rsidTr="00EC4791">
        <w:tc>
          <w:tcPr>
            <w:tcW w:w="5670" w:type="dxa"/>
            <w:shd w:val="clear" w:color="auto" w:fill="EAF1DD" w:themeFill="accent3" w:themeFillTint="33"/>
          </w:tcPr>
          <w:p w14:paraId="79279A97" w14:textId="77777777" w:rsidR="00EC4791" w:rsidRPr="00DA3515" w:rsidRDefault="00EC4791" w:rsidP="00EC4791">
            <w:pPr>
              <w:widowControl w:val="0"/>
              <w:autoSpaceDE w:val="0"/>
              <w:autoSpaceDN w:val="0"/>
              <w:adjustRightInd w:val="0"/>
              <w:spacing w:before="120" w:after="120" w:line="276" w:lineRule="auto"/>
              <w:jc w:val="center"/>
              <w:rPr>
                <w:rFonts w:ascii="Arial" w:hAnsi="Arial" w:cs="Arial"/>
                <w:b/>
                <w:color w:val="008000"/>
                <w:sz w:val="32"/>
                <w:szCs w:val="32"/>
              </w:rPr>
            </w:pPr>
            <w:r w:rsidRPr="00DA3515">
              <w:rPr>
                <w:rFonts w:ascii="Arial" w:hAnsi="Arial" w:cs="Arial"/>
                <w:b/>
                <w:color w:val="008000"/>
                <w:sz w:val="32"/>
                <w:szCs w:val="32"/>
              </w:rPr>
              <w:t>Inhalt der Grünen-Initiative</w:t>
            </w:r>
          </w:p>
        </w:tc>
      </w:tr>
    </w:tbl>
    <w:p w14:paraId="0CF28C6C" w14:textId="77777777" w:rsidR="00FB7FC7" w:rsidRPr="00C04C97" w:rsidRDefault="00DE2DCC" w:rsidP="00DE2DCC">
      <w:pPr>
        <w:widowControl w:val="0"/>
        <w:autoSpaceDE w:val="0"/>
        <w:autoSpaceDN w:val="0"/>
        <w:adjustRightInd w:val="0"/>
        <w:spacing w:after="240" w:line="260" w:lineRule="atLeast"/>
        <w:rPr>
          <w:rFonts w:ascii="Arial" w:hAnsi="Arial" w:cs="Arial"/>
          <w:sz w:val="22"/>
          <w:szCs w:val="22"/>
          <w:lang w:val="de-CH"/>
        </w:rPr>
      </w:pPr>
      <w:r w:rsidRPr="00DA3515">
        <w:rPr>
          <w:rFonts w:ascii="Arial" w:hAnsi="Arial" w:cs="Arial"/>
          <w:sz w:val="22"/>
          <w:szCs w:val="22"/>
        </w:rPr>
        <w:t xml:space="preserve"> </w:t>
      </w:r>
    </w:p>
    <w:p w14:paraId="1F844749" w14:textId="71A29A03" w:rsidR="00FB7FC7" w:rsidRPr="00C04C97" w:rsidRDefault="00FB7FC7" w:rsidP="00FB7FC7">
      <w:pPr>
        <w:spacing w:line="276" w:lineRule="auto"/>
        <w:rPr>
          <w:rFonts w:ascii="Arial" w:hAnsi="Arial" w:cs="Arial"/>
          <w:sz w:val="22"/>
          <w:szCs w:val="22"/>
          <w:lang w:val="de-CH"/>
        </w:rPr>
      </w:pPr>
    </w:p>
    <w:p w14:paraId="7FD692DD" w14:textId="77777777" w:rsidR="00EC4791" w:rsidRPr="00C04C97" w:rsidRDefault="00EC4791" w:rsidP="00FB7FC7">
      <w:pPr>
        <w:widowControl w:val="0"/>
        <w:autoSpaceDE w:val="0"/>
        <w:autoSpaceDN w:val="0"/>
        <w:adjustRightInd w:val="0"/>
        <w:spacing w:after="240" w:line="276" w:lineRule="auto"/>
        <w:rPr>
          <w:rFonts w:ascii="Arial" w:hAnsi="Arial" w:cs="Arial"/>
          <w:sz w:val="22"/>
          <w:szCs w:val="22"/>
          <w:lang w:val="de-CH"/>
        </w:rPr>
      </w:pPr>
    </w:p>
    <w:p w14:paraId="54F741AC" w14:textId="05FB5A35" w:rsidR="00FB7FC7" w:rsidRPr="00C04C97" w:rsidRDefault="00FB7FC7" w:rsidP="00FB7FC7">
      <w:pPr>
        <w:widowControl w:val="0"/>
        <w:autoSpaceDE w:val="0"/>
        <w:autoSpaceDN w:val="0"/>
        <w:adjustRightInd w:val="0"/>
        <w:spacing w:after="240" w:line="276" w:lineRule="auto"/>
        <w:rPr>
          <w:rFonts w:ascii="Arial" w:hAnsi="Arial" w:cs="Arial"/>
          <w:sz w:val="22"/>
          <w:szCs w:val="22"/>
          <w:lang w:val="de-CH"/>
        </w:rPr>
      </w:pPr>
      <w:r w:rsidRPr="00C04C97">
        <w:rPr>
          <w:rFonts w:ascii="Arial" w:hAnsi="Arial" w:cs="Arial"/>
          <w:sz w:val="22"/>
          <w:szCs w:val="22"/>
          <w:lang w:val="de-CH"/>
        </w:rPr>
        <w:t xml:space="preserve">Die Initiative verlangt eine Änderung des Artikels 90 (Kernenergie) der Bundesverfassung und fügt einen neuen Artikel in die Übergangsbestimmungen ein. Dadurch wird der geordnete Ausstieg aus der Atomenergie in der Verfassung festgeschrieben. </w:t>
      </w:r>
    </w:p>
    <w:p w14:paraId="2C9F34EF" w14:textId="337E65F2" w:rsidR="00FB7FC7" w:rsidRPr="00C04C97" w:rsidRDefault="00FB7FC7" w:rsidP="00FB7FC7">
      <w:pPr>
        <w:widowControl w:val="0"/>
        <w:tabs>
          <w:tab w:val="left" w:pos="220"/>
          <w:tab w:val="left" w:pos="720"/>
        </w:tabs>
        <w:autoSpaceDE w:val="0"/>
        <w:autoSpaceDN w:val="0"/>
        <w:adjustRightInd w:val="0"/>
        <w:spacing w:before="120" w:after="60" w:line="276" w:lineRule="auto"/>
        <w:rPr>
          <w:rFonts w:ascii="Arial" w:hAnsi="Arial" w:cs="Arial"/>
          <w:b/>
          <w:sz w:val="22"/>
          <w:szCs w:val="22"/>
          <w:lang w:val="de-CH"/>
        </w:rPr>
      </w:pPr>
      <w:r w:rsidRPr="00C04C97">
        <w:rPr>
          <w:rFonts w:ascii="Arial" w:hAnsi="Arial" w:cs="Arial"/>
          <w:b/>
          <w:sz w:val="22"/>
          <w:szCs w:val="22"/>
          <w:lang w:val="de-CH"/>
        </w:rPr>
        <w:t>Inhalt des a</w:t>
      </w:r>
      <w:r w:rsidR="00EC4791" w:rsidRPr="00C04C97">
        <w:rPr>
          <w:rFonts w:ascii="Arial" w:hAnsi="Arial" w:cs="Arial"/>
          <w:b/>
          <w:sz w:val="22"/>
          <w:szCs w:val="22"/>
          <w:lang w:val="de-CH"/>
        </w:rPr>
        <w:t>ngepassten Artikels 90</w:t>
      </w:r>
    </w:p>
    <w:p w14:paraId="72BE794E" w14:textId="77777777" w:rsidR="00FB7FC7" w:rsidRPr="00C04C97" w:rsidRDefault="00FB7FC7" w:rsidP="00FB7FC7">
      <w:pPr>
        <w:widowControl w:val="0"/>
        <w:tabs>
          <w:tab w:val="left" w:pos="220"/>
          <w:tab w:val="left" w:pos="720"/>
        </w:tabs>
        <w:autoSpaceDE w:val="0"/>
        <w:autoSpaceDN w:val="0"/>
        <w:adjustRightInd w:val="0"/>
        <w:spacing w:after="320" w:line="276" w:lineRule="auto"/>
        <w:rPr>
          <w:rFonts w:ascii="Arial" w:hAnsi="Arial" w:cs="Arial"/>
          <w:sz w:val="22"/>
          <w:szCs w:val="22"/>
          <w:lang w:val="de-CH"/>
        </w:rPr>
      </w:pPr>
      <w:r w:rsidRPr="00C04C97">
        <w:rPr>
          <w:rFonts w:ascii="Arial" w:hAnsi="Arial" w:cs="Arial"/>
          <w:sz w:val="22"/>
          <w:szCs w:val="22"/>
          <w:lang w:val="de-CH"/>
        </w:rPr>
        <w:t xml:space="preserve">Künftig soll der Betrieb von Kernkraftwerken zur Erzeugung von Strom oder Wärme verboten sein. Damit dürfen keine AKW mehr für die Energiegewinnung eingesetzt werden. Weit kleinere und weniger gefährliche Forschungsreaktoren und Reaktoren zur Herstellung von Radionukliden für Medizin und Technik sind weiterhin zugelassen. </w:t>
      </w:r>
    </w:p>
    <w:p w14:paraId="1040A64A" w14:textId="4BC2EA74" w:rsidR="00FB7FC7" w:rsidRPr="00DA3515" w:rsidRDefault="00FB7FC7" w:rsidP="00FB7FC7">
      <w:pPr>
        <w:widowControl w:val="0"/>
        <w:tabs>
          <w:tab w:val="left" w:pos="220"/>
          <w:tab w:val="left" w:pos="720"/>
        </w:tabs>
        <w:autoSpaceDE w:val="0"/>
        <w:autoSpaceDN w:val="0"/>
        <w:adjustRightInd w:val="0"/>
        <w:spacing w:after="320" w:line="276" w:lineRule="auto"/>
        <w:rPr>
          <w:rFonts w:ascii="Arial" w:hAnsi="Arial" w:cs="Arial"/>
          <w:sz w:val="22"/>
          <w:szCs w:val="22"/>
        </w:rPr>
      </w:pPr>
      <w:r w:rsidRPr="00C04C97">
        <w:rPr>
          <w:rFonts w:ascii="Arial" w:hAnsi="Arial" w:cs="Arial"/>
          <w:sz w:val="22"/>
          <w:szCs w:val="22"/>
          <w:lang w:val="de-CH"/>
        </w:rPr>
        <w:t xml:space="preserve">Zur geordneten Umsetzung des Ausstiegs aus der Atomenergie wird der Schwerpunkt auf Energiesparmassnahmen, die effiziente Nutzung von Energie und die Erzeugung erneuerbarer Energien gelegt. Ausserdem soll der Bund Grundsätze über die Nutzung einheimischer und erneuerbarer Energien und über den sparsamen und rationellen Energieverbrauch festlegen. Der Bund soll zudem Vorschriften über den Energieverbrauch von Anlagen, Fahrzeugen und </w:t>
      </w:r>
      <w:r w:rsidRPr="00DA3515">
        <w:rPr>
          <w:rFonts w:ascii="Arial" w:hAnsi="Arial" w:cs="Arial"/>
          <w:sz w:val="22"/>
          <w:szCs w:val="22"/>
        </w:rPr>
        <w:lastRenderedPageBreak/>
        <w:t xml:space="preserve">Geräten erlassen. Artikel 89 gibt dem Bund ausdrücklich die </w:t>
      </w:r>
      <w:r w:rsidR="00796D04" w:rsidRPr="00DA3515">
        <w:rPr>
          <w:rFonts w:ascii="Arial" w:hAnsi="Arial" w:cs="Arial"/>
          <w:sz w:val="22"/>
          <w:szCs w:val="22"/>
        </w:rPr>
        <w:t>Befugnis</w:t>
      </w:r>
      <w:r w:rsidRPr="00DA3515">
        <w:rPr>
          <w:rFonts w:ascii="Arial" w:hAnsi="Arial" w:cs="Arial"/>
          <w:sz w:val="22"/>
          <w:szCs w:val="22"/>
        </w:rPr>
        <w:t>, die Entwicklung von Energietechniken, insbesondere in den Bereichen des Energiesparens und der erne</w:t>
      </w:r>
      <w:r w:rsidR="00A40891">
        <w:rPr>
          <w:rFonts w:ascii="Arial" w:hAnsi="Arial" w:cs="Arial"/>
          <w:sz w:val="22"/>
          <w:szCs w:val="22"/>
        </w:rPr>
        <w:t xml:space="preserve">uerbaren Energien, zu fördern. </w:t>
      </w:r>
    </w:p>
    <w:p w14:paraId="1B382F97" w14:textId="5CCABA10" w:rsidR="00FB7FC7" w:rsidRPr="00700F34" w:rsidRDefault="00FB7FC7" w:rsidP="00FB7FC7">
      <w:pPr>
        <w:widowControl w:val="0"/>
        <w:tabs>
          <w:tab w:val="left" w:pos="220"/>
          <w:tab w:val="left" w:pos="720"/>
        </w:tabs>
        <w:autoSpaceDE w:val="0"/>
        <w:autoSpaceDN w:val="0"/>
        <w:adjustRightInd w:val="0"/>
        <w:spacing w:before="120" w:after="60" w:line="276" w:lineRule="auto"/>
        <w:rPr>
          <w:rFonts w:ascii="Arial" w:hAnsi="Arial" w:cs="Arial"/>
          <w:b/>
          <w:sz w:val="22"/>
          <w:szCs w:val="22"/>
          <w:lang w:val="de-CH"/>
        </w:rPr>
      </w:pPr>
      <w:r w:rsidRPr="00700F34">
        <w:rPr>
          <w:rFonts w:ascii="Arial" w:hAnsi="Arial" w:cs="Arial"/>
          <w:b/>
          <w:sz w:val="22"/>
          <w:szCs w:val="22"/>
          <w:lang w:val="de-CH"/>
        </w:rPr>
        <w:t xml:space="preserve">Inhalt des neuen Artikels in den </w:t>
      </w:r>
      <w:r w:rsidR="00EC4791" w:rsidRPr="00700F34">
        <w:rPr>
          <w:rFonts w:ascii="Arial" w:hAnsi="Arial" w:cs="Arial"/>
          <w:b/>
          <w:sz w:val="22"/>
          <w:szCs w:val="22"/>
          <w:lang w:val="de-CH"/>
        </w:rPr>
        <w:t>Übergangsbestimmungen</w:t>
      </w:r>
    </w:p>
    <w:p w14:paraId="20C3D337" w14:textId="16C05323" w:rsidR="00FB7FC7" w:rsidRPr="00700F34" w:rsidRDefault="00FB7FC7" w:rsidP="00FB7FC7">
      <w:pPr>
        <w:widowControl w:val="0"/>
        <w:tabs>
          <w:tab w:val="left" w:pos="220"/>
          <w:tab w:val="left" w:pos="720"/>
        </w:tabs>
        <w:autoSpaceDE w:val="0"/>
        <w:autoSpaceDN w:val="0"/>
        <w:adjustRightInd w:val="0"/>
        <w:spacing w:after="240" w:line="276" w:lineRule="auto"/>
        <w:rPr>
          <w:rFonts w:ascii="Arial" w:hAnsi="Arial" w:cs="Arial"/>
          <w:sz w:val="22"/>
          <w:szCs w:val="22"/>
          <w:lang w:val="de-CH"/>
        </w:rPr>
      </w:pPr>
      <w:r w:rsidRPr="00700F34">
        <w:rPr>
          <w:rFonts w:ascii="Arial" w:hAnsi="Arial" w:cs="Arial"/>
          <w:sz w:val="22"/>
          <w:szCs w:val="22"/>
          <w:lang w:val="de-CH"/>
        </w:rPr>
        <w:t xml:space="preserve">Die bestehenden Atomkraftwerke werden grundsätzlich fünfundvierzig Jahre nach deren Inbetriebnahme abgeschaltet. Der Ausstieg erfolgt also schrittweise. </w:t>
      </w:r>
    </w:p>
    <w:p w14:paraId="138AB442" w14:textId="77777777" w:rsidR="00FB7FC7" w:rsidRPr="00700F34" w:rsidRDefault="00FB7FC7" w:rsidP="00FB7FC7">
      <w:pPr>
        <w:widowControl w:val="0"/>
        <w:autoSpaceDE w:val="0"/>
        <w:autoSpaceDN w:val="0"/>
        <w:adjustRightInd w:val="0"/>
        <w:spacing w:before="120" w:after="60" w:line="276" w:lineRule="auto"/>
        <w:rPr>
          <w:rFonts w:ascii="Arial" w:hAnsi="Arial" w:cs="Arial"/>
          <w:b/>
          <w:sz w:val="22"/>
          <w:szCs w:val="22"/>
          <w:lang w:val="de-CH"/>
        </w:rPr>
      </w:pPr>
      <w:r w:rsidRPr="00700F34">
        <w:rPr>
          <w:rFonts w:ascii="Arial" w:hAnsi="Arial" w:cs="Arial"/>
          <w:b/>
          <w:sz w:val="22"/>
          <w:szCs w:val="22"/>
          <w:lang w:val="de-CH"/>
        </w:rPr>
        <w:t xml:space="preserve">Atomausstiegsagenda 2029 </w:t>
      </w:r>
    </w:p>
    <w:p w14:paraId="4B320232" w14:textId="77777777" w:rsidR="00FB7FC7" w:rsidRPr="00700F34" w:rsidRDefault="00FB7FC7" w:rsidP="00FB7FC7">
      <w:pPr>
        <w:widowControl w:val="0"/>
        <w:autoSpaceDE w:val="0"/>
        <w:autoSpaceDN w:val="0"/>
        <w:adjustRightInd w:val="0"/>
        <w:spacing w:after="240" w:line="276" w:lineRule="auto"/>
        <w:rPr>
          <w:rFonts w:ascii="Arial" w:hAnsi="Arial" w:cs="Arial"/>
          <w:sz w:val="22"/>
          <w:szCs w:val="22"/>
          <w:lang w:val="de-CH"/>
        </w:rPr>
      </w:pPr>
      <w:r w:rsidRPr="00700F34">
        <w:rPr>
          <w:rFonts w:ascii="Arial" w:hAnsi="Arial" w:cs="Arial"/>
          <w:sz w:val="22"/>
          <w:szCs w:val="22"/>
          <w:lang w:val="de-CH"/>
        </w:rPr>
        <w:t xml:space="preserve">Der Atomausstieg ist machbar. Die Ausstiegsinitiative legt den Schwerpunkt auf die drei E: Einsparungen, Energieeffizienz und erneuerbare Energien. Je nach Entwicklung der Technologien und den politischen Rahmenbedingungen werden die Potenziale unterschiedlich ausgeschöpft. </w:t>
      </w:r>
    </w:p>
    <w:p w14:paraId="588B172C" w14:textId="77777777" w:rsidR="00FB7FC7" w:rsidRPr="00700F34" w:rsidRDefault="00FB7FC7" w:rsidP="00FB7FC7">
      <w:pPr>
        <w:widowControl w:val="0"/>
        <w:autoSpaceDE w:val="0"/>
        <w:autoSpaceDN w:val="0"/>
        <w:adjustRightInd w:val="0"/>
        <w:spacing w:after="240" w:line="276" w:lineRule="auto"/>
        <w:rPr>
          <w:rFonts w:ascii="Arial" w:hAnsi="Arial" w:cs="Arial"/>
          <w:sz w:val="22"/>
          <w:szCs w:val="22"/>
          <w:lang w:val="de-CH"/>
        </w:rPr>
      </w:pPr>
      <w:r w:rsidRPr="00700F34">
        <w:rPr>
          <w:rFonts w:ascii="Arial" w:hAnsi="Arial" w:cs="Arial"/>
          <w:sz w:val="22"/>
          <w:szCs w:val="22"/>
          <w:lang w:val="de-CH"/>
        </w:rPr>
        <w:t xml:space="preserve">Allein mit Einsparungen und Effizienzmassnahmen können die drei alten AKW </w:t>
      </w:r>
      <w:proofErr w:type="spellStart"/>
      <w:r w:rsidRPr="00700F34">
        <w:rPr>
          <w:rFonts w:ascii="Arial" w:hAnsi="Arial" w:cs="Arial"/>
          <w:sz w:val="22"/>
          <w:szCs w:val="22"/>
          <w:lang w:val="de-CH"/>
        </w:rPr>
        <w:t>Beznau</w:t>
      </w:r>
      <w:proofErr w:type="spellEnd"/>
      <w:r w:rsidRPr="00700F34">
        <w:rPr>
          <w:rFonts w:ascii="Arial" w:hAnsi="Arial" w:cs="Arial"/>
          <w:sz w:val="22"/>
          <w:szCs w:val="22"/>
          <w:lang w:val="de-CH"/>
        </w:rPr>
        <w:t xml:space="preserve"> 1 + 2 und Mühleberg mehr als einmal ersetzt werden. Mit dem Ausbau der erneuerbaren Energien kann bis 2029 so viel Strom erzeugt werden, wie heute die beiden grossen AKW </w:t>
      </w:r>
      <w:proofErr w:type="spellStart"/>
      <w:r w:rsidRPr="00700F34">
        <w:rPr>
          <w:rFonts w:ascii="Arial" w:hAnsi="Arial" w:cs="Arial"/>
          <w:sz w:val="22"/>
          <w:szCs w:val="22"/>
          <w:lang w:val="de-CH"/>
        </w:rPr>
        <w:t>Gösgen</w:t>
      </w:r>
      <w:proofErr w:type="spellEnd"/>
      <w:r w:rsidRPr="00700F34">
        <w:rPr>
          <w:rFonts w:ascii="Arial" w:hAnsi="Arial" w:cs="Arial"/>
          <w:sz w:val="22"/>
          <w:szCs w:val="22"/>
          <w:lang w:val="de-CH"/>
        </w:rPr>
        <w:t xml:space="preserve"> und Leibstadt produzieren. </w:t>
      </w:r>
    </w:p>
    <w:p w14:paraId="22BCC625" w14:textId="30B28188" w:rsidR="00FB7FC7" w:rsidRPr="00700F34" w:rsidRDefault="00FB7FC7" w:rsidP="00FB7FC7">
      <w:pPr>
        <w:widowControl w:val="0"/>
        <w:autoSpaceDE w:val="0"/>
        <w:autoSpaceDN w:val="0"/>
        <w:adjustRightInd w:val="0"/>
        <w:spacing w:before="120" w:after="60" w:line="276" w:lineRule="auto"/>
        <w:rPr>
          <w:rFonts w:ascii="Arial" w:hAnsi="Arial" w:cs="Arial"/>
          <w:b/>
          <w:sz w:val="22"/>
          <w:szCs w:val="22"/>
          <w:lang w:val="de-CH"/>
        </w:rPr>
      </w:pPr>
      <w:r w:rsidRPr="00700F34">
        <w:rPr>
          <w:rFonts w:ascii="Arial" w:hAnsi="Arial" w:cs="Arial"/>
          <w:b/>
          <w:sz w:val="22"/>
          <w:szCs w:val="22"/>
          <w:lang w:val="de-CH"/>
        </w:rPr>
        <w:t>Einspar- und Effizienzpotenziale</w:t>
      </w:r>
    </w:p>
    <w:p w14:paraId="3F0A50BC" w14:textId="77777777" w:rsidR="00FB7FC7" w:rsidRPr="00700F34" w:rsidRDefault="00FB7FC7" w:rsidP="00FB7FC7">
      <w:pPr>
        <w:widowControl w:val="0"/>
        <w:autoSpaceDE w:val="0"/>
        <w:autoSpaceDN w:val="0"/>
        <w:adjustRightInd w:val="0"/>
        <w:spacing w:after="240" w:line="276" w:lineRule="auto"/>
        <w:rPr>
          <w:rFonts w:ascii="Arial" w:hAnsi="Arial" w:cs="Arial"/>
          <w:sz w:val="22"/>
          <w:szCs w:val="22"/>
          <w:lang w:val="de-CH"/>
        </w:rPr>
      </w:pPr>
      <w:r w:rsidRPr="00700F34">
        <w:rPr>
          <w:rFonts w:ascii="Arial" w:hAnsi="Arial" w:cs="Arial"/>
          <w:sz w:val="22"/>
          <w:szCs w:val="22"/>
          <w:lang w:val="de-CH"/>
        </w:rPr>
        <w:t>Die Schweizerische Agentur für Energieeffizienz</w:t>
      </w:r>
      <w:r w:rsidRPr="00700F34">
        <w:rPr>
          <w:rFonts w:ascii="Arial" w:hAnsi="Arial" w:cs="Arial"/>
          <w:position w:val="16"/>
          <w:sz w:val="22"/>
          <w:szCs w:val="22"/>
          <w:lang w:val="de-CH"/>
        </w:rPr>
        <w:t xml:space="preserve"> </w:t>
      </w:r>
      <w:r w:rsidRPr="00700F34">
        <w:rPr>
          <w:rFonts w:ascii="Arial" w:hAnsi="Arial" w:cs="Arial"/>
          <w:sz w:val="22"/>
          <w:szCs w:val="22"/>
          <w:lang w:val="de-CH"/>
        </w:rPr>
        <w:t xml:space="preserve">hat die Einspar- und Effizienzpotenziale verschiedener Massnahmen berechnet. Einige Beispiele aus dem Alltag: </w:t>
      </w:r>
    </w:p>
    <w:p w14:paraId="09C81E3B" w14:textId="5282CBB6" w:rsidR="00FB7FC7" w:rsidRPr="00700F34" w:rsidRDefault="00FB7FC7" w:rsidP="00FB7FC7">
      <w:pPr>
        <w:pStyle w:val="Listenabsatz"/>
        <w:widowControl w:val="0"/>
        <w:numPr>
          <w:ilvl w:val="0"/>
          <w:numId w:val="2"/>
        </w:numPr>
        <w:tabs>
          <w:tab w:val="left" w:pos="220"/>
          <w:tab w:val="left" w:pos="720"/>
        </w:tabs>
        <w:autoSpaceDE w:val="0"/>
        <w:autoSpaceDN w:val="0"/>
        <w:adjustRightInd w:val="0"/>
        <w:spacing w:after="320" w:line="276" w:lineRule="auto"/>
        <w:rPr>
          <w:rFonts w:ascii="Arial" w:hAnsi="Arial" w:cs="Arial"/>
          <w:sz w:val="22"/>
          <w:szCs w:val="22"/>
          <w:lang w:val="de-CH"/>
        </w:rPr>
      </w:pPr>
      <w:r w:rsidRPr="00700F34">
        <w:rPr>
          <w:rFonts w:ascii="Arial" w:hAnsi="Arial" w:cs="Arial"/>
          <w:sz w:val="22"/>
          <w:szCs w:val="22"/>
          <w:lang w:val="de-CH"/>
        </w:rPr>
        <w:t>Wenn alle Röhrenfernsehgeräte und die alten LCD-Geräte durch die bes</w:t>
      </w:r>
      <w:r w:rsidR="002308B6">
        <w:rPr>
          <w:rFonts w:ascii="Arial" w:hAnsi="Arial" w:cs="Arial"/>
          <w:sz w:val="22"/>
          <w:szCs w:val="22"/>
          <w:lang w:val="de-CH"/>
        </w:rPr>
        <w:t>seren</w:t>
      </w:r>
      <w:r w:rsidRPr="00700F34">
        <w:rPr>
          <w:rFonts w:ascii="Arial" w:hAnsi="Arial" w:cs="Arial"/>
          <w:sz w:val="22"/>
          <w:szCs w:val="22"/>
          <w:lang w:val="de-CH"/>
        </w:rPr>
        <w:t xml:space="preserve"> LCD- Fernseher mit integrierter </w:t>
      </w:r>
      <w:proofErr w:type="spellStart"/>
      <w:r w:rsidRPr="00700F34">
        <w:rPr>
          <w:rFonts w:ascii="Arial" w:hAnsi="Arial" w:cs="Arial"/>
          <w:sz w:val="22"/>
          <w:szCs w:val="22"/>
          <w:lang w:val="de-CH"/>
        </w:rPr>
        <w:t>Settop</w:t>
      </w:r>
      <w:proofErr w:type="spellEnd"/>
      <w:r w:rsidRPr="00700F34">
        <w:rPr>
          <w:rFonts w:ascii="Arial" w:hAnsi="Arial" w:cs="Arial"/>
          <w:sz w:val="22"/>
          <w:szCs w:val="22"/>
          <w:lang w:val="de-CH"/>
        </w:rPr>
        <w:t>-Box ersetzt werden, liesse sich jäh</w:t>
      </w:r>
      <w:r w:rsidR="00A40891" w:rsidRPr="00700F34">
        <w:rPr>
          <w:rFonts w:ascii="Arial" w:hAnsi="Arial" w:cs="Arial"/>
          <w:sz w:val="22"/>
          <w:szCs w:val="22"/>
          <w:lang w:val="de-CH"/>
        </w:rPr>
        <w:t xml:space="preserve">rlich 0,8 </w:t>
      </w:r>
      <w:proofErr w:type="spellStart"/>
      <w:r w:rsidR="00A40891" w:rsidRPr="00700F34">
        <w:rPr>
          <w:rFonts w:ascii="Arial" w:hAnsi="Arial" w:cs="Arial"/>
          <w:sz w:val="22"/>
          <w:szCs w:val="22"/>
          <w:lang w:val="de-CH"/>
        </w:rPr>
        <w:t>TWh</w:t>
      </w:r>
      <w:proofErr w:type="spellEnd"/>
      <w:r w:rsidR="00A40891" w:rsidRPr="00700F34">
        <w:rPr>
          <w:rFonts w:ascii="Arial" w:hAnsi="Arial" w:cs="Arial"/>
          <w:sz w:val="22"/>
          <w:szCs w:val="22"/>
          <w:lang w:val="de-CH"/>
        </w:rPr>
        <w:t xml:space="preserve"> Strom einsparen. </w:t>
      </w:r>
    </w:p>
    <w:p w14:paraId="6BCD3371" w14:textId="570BFC26" w:rsidR="00FB7FC7" w:rsidRPr="00700F34" w:rsidRDefault="00FB7FC7" w:rsidP="00FB7FC7">
      <w:pPr>
        <w:pStyle w:val="Listenabsatz"/>
        <w:widowControl w:val="0"/>
        <w:numPr>
          <w:ilvl w:val="0"/>
          <w:numId w:val="2"/>
        </w:numPr>
        <w:tabs>
          <w:tab w:val="left" w:pos="220"/>
          <w:tab w:val="left" w:pos="720"/>
        </w:tabs>
        <w:autoSpaceDE w:val="0"/>
        <w:autoSpaceDN w:val="0"/>
        <w:adjustRightInd w:val="0"/>
        <w:spacing w:after="320" w:line="276" w:lineRule="auto"/>
        <w:rPr>
          <w:rFonts w:ascii="Arial" w:hAnsi="Arial" w:cs="Arial"/>
          <w:sz w:val="22"/>
          <w:szCs w:val="22"/>
          <w:lang w:val="de-CH"/>
        </w:rPr>
      </w:pPr>
      <w:r w:rsidRPr="00700F34">
        <w:rPr>
          <w:rFonts w:ascii="Arial" w:hAnsi="Arial" w:cs="Arial"/>
          <w:sz w:val="22"/>
          <w:szCs w:val="22"/>
          <w:lang w:val="de-CH"/>
        </w:rPr>
        <w:t>Der Ersatz alter Kühl- und Gefriergeräte sowie weiterer stromverbrauchender Haushaltgeräte durch die jeweils energieeffizientesten Geräte auf dem Markt (Energieklasse A+++) erlaubt Eins</w:t>
      </w:r>
      <w:r w:rsidR="00A40891" w:rsidRPr="00700F34">
        <w:rPr>
          <w:rFonts w:ascii="Arial" w:hAnsi="Arial" w:cs="Arial"/>
          <w:sz w:val="22"/>
          <w:szCs w:val="22"/>
          <w:lang w:val="de-CH"/>
        </w:rPr>
        <w:t xml:space="preserve">parungen von 1,7 </w:t>
      </w:r>
      <w:proofErr w:type="spellStart"/>
      <w:r w:rsidR="00A40891" w:rsidRPr="00700F34">
        <w:rPr>
          <w:rFonts w:ascii="Arial" w:hAnsi="Arial" w:cs="Arial"/>
          <w:sz w:val="22"/>
          <w:szCs w:val="22"/>
          <w:lang w:val="de-CH"/>
        </w:rPr>
        <w:t>TWh</w:t>
      </w:r>
      <w:proofErr w:type="spellEnd"/>
      <w:r w:rsidR="00A40891" w:rsidRPr="00700F34">
        <w:rPr>
          <w:rFonts w:ascii="Arial" w:hAnsi="Arial" w:cs="Arial"/>
          <w:sz w:val="22"/>
          <w:szCs w:val="22"/>
          <w:lang w:val="de-CH"/>
        </w:rPr>
        <w:t xml:space="preserve"> pro Jahr. </w:t>
      </w:r>
    </w:p>
    <w:p w14:paraId="1BA76C65" w14:textId="5CC6277B" w:rsidR="00FB7FC7" w:rsidRPr="00700F34" w:rsidRDefault="00FB7FC7" w:rsidP="00FB7FC7">
      <w:pPr>
        <w:pStyle w:val="Listenabsatz"/>
        <w:widowControl w:val="0"/>
        <w:numPr>
          <w:ilvl w:val="0"/>
          <w:numId w:val="2"/>
        </w:numPr>
        <w:tabs>
          <w:tab w:val="left" w:pos="220"/>
          <w:tab w:val="left" w:pos="720"/>
        </w:tabs>
        <w:autoSpaceDE w:val="0"/>
        <w:autoSpaceDN w:val="0"/>
        <w:adjustRightInd w:val="0"/>
        <w:spacing w:after="320" w:line="276" w:lineRule="auto"/>
        <w:rPr>
          <w:rFonts w:ascii="Arial" w:hAnsi="Arial" w:cs="Arial"/>
          <w:sz w:val="22"/>
          <w:szCs w:val="22"/>
          <w:lang w:val="de-CH"/>
        </w:rPr>
      </w:pPr>
      <w:r w:rsidRPr="00700F34">
        <w:rPr>
          <w:rFonts w:ascii="Arial" w:hAnsi="Arial" w:cs="Arial"/>
          <w:sz w:val="22"/>
          <w:szCs w:val="22"/>
          <w:lang w:val="de-CH"/>
        </w:rPr>
        <w:t xml:space="preserve">Mit dem Ersatz von Elektrowiderstandsheizungen durch effiziente Wärmesysteme wie Wärmepumpen und bessere Isolierung könnte jährlich 1,2 </w:t>
      </w:r>
      <w:proofErr w:type="spellStart"/>
      <w:r w:rsidRPr="00700F34">
        <w:rPr>
          <w:rFonts w:ascii="Arial" w:hAnsi="Arial" w:cs="Arial"/>
          <w:sz w:val="22"/>
          <w:szCs w:val="22"/>
          <w:lang w:val="de-CH"/>
        </w:rPr>
        <w:t>TWh</w:t>
      </w:r>
      <w:proofErr w:type="spellEnd"/>
      <w:r w:rsidRPr="00700F34">
        <w:rPr>
          <w:rFonts w:ascii="Arial" w:hAnsi="Arial" w:cs="Arial"/>
          <w:sz w:val="22"/>
          <w:szCs w:val="22"/>
          <w:lang w:val="de-CH"/>
        </w:rPr>
        <w:t xml:space="preserve"> eingespart werden. Im Winter produzieren die AKW </w:t>
      </w:r>
      <w:proofErr w:type="spellStart"/>
      <w:r w:rsidRPr="00700F34">
        <w:rPr>
          <w:rFonts w:ascii="Arial" w:hAnsi="Arial" w:cs="Arial"/>
          <w:sz w:val="22"/>
          <w:szCs w:val="22"/>
          <w:lang w:val="de-CH"/>
        </w:rPr>
        <w:t>Beznau</w:t>
      </w:r>
      <w:proofErr w:type="spellEnd"/>
      <w:r w:rsidRPr="00700F34">
        <w:rPr>
          <w:rFonts w:ascii="Arial" w:hAnsi="Arial" w:cs="Arial"/>
          <w:sz w:val="22"/>
          <w:szCs w:val="22"/>
          <w:lang w:val="de-CH"/>
        </w:rPr>
        <w:t xml:space="preserve"> 1 + 2 und Mühleberg n</w:t>
      </w:r>
      <w:r w:rsidR="00A40891" w:rsidRPr="00700F34">
        <w:rPr>
          <w:rFonts w:ascii="Arial" w:hAnsi="Arial" w:cs="Arial"/>
          <w:sz w:val="22"/>
          <w:szCs w:val="22"/>
          <w:lang w:val="de-CH"/>
        </w:rPr>
        <w:t xml:space="preserve">ur Strom für Elektroheizungen. </w:t>
      </w:r>
    </w:p>
    <w:p w14:paraId="171623D4" w14:textId="23761C47" w:rsidR="00FB7FC7" w:rsidRPr="00700F34" w:rsidRDefault="00FB7FC7" w:rsidP="00FB7FC7">
      <w:pPr>
        <w:pStyle w:val="Listenabsatz"/>
        <w:widowControl w:val="0"/>
        <w:numPr>
          <w:ilvl w:val="0"/>
          <w:numId w:val="2"/>
        </w:numPr>
        <w:tabs>
          <w:tab w:val="left" w:pos="220"/>
          <w:tab w:val="left" w:pos="720"/>
        </w:tabs>
        <w:autoSpaceDE w:val="0"/>
        <w:autoSpaceDN w:val="0"/>
        <w:adjustRightInd w:val="0"/>
        <w:spacing w:after="320" w:line="276" w:lineRule="auto"/>
        <w:rPr>
          <w:rFonts w:ascii="Arial" w:hAnsi="Arial" w:cs="Arial"/>
          <w:sz w:val="22"/>
          <w:szCs w:val="22"/>
          <w:lang w:val="de-CH"/>
        </w:rPr>
      </w:pPr>
      <w:r w:rsidRPr="00700F34">
        <w:rPr>
          <w:rFonts w:ascii="Arial" w:hAnsi="Arial" w:cs="Arial"/>
          <w:sz w:val="22"/>
          <w:szCs w:val="22"/>
          <w:lang w:val="de-CH"/>
        </w:rPr>
        <w:t xml:space="preserve">Mit dem flächendeckenden Ersatz alter Glühbirnen durch LED-Lampen können im Jahr 4,2 </w:t>
      </w:r>
      <w:proofErr w:type="spellStart"/>
      <w:r w:rsidRPr="00700F34">
        <w:rPr>
          <w:rFonts w:ascii="Arial" w:hAnsi="Arial" w:cs="Arial"/>
          <w:sz w:val="22"/>
          <w:szCs w:val="22"/>
          <w:lang w:val="de-CH"/>
        </w:rPr>
        <w:t>TWh</w:t>
      </w:r>
      <w:proofErr w:type="spellEnd"/>
      <w:r w:rsidRPr="00700F34">
        <w:rPr>
          <w:rFonts w:ascii="Arial" w:hAnsi="Arial" w:cs="Arial"/>
          <w:sz w:val="22"/>
          <w:szCs w:val="22"/>
          <w:lang w:val="de-CH"/>
        </w:rPr>
        <w:t xml:space="preserve"> Strom eingespart werden. Das ist mehr als eines </w:t>
      </w:r>
      <w:r w:rsidR="00A40891" w:rsidRPr="00700F34">
        <w:rPr>
          <w:rFonts w:ascii="Arial" w:hAnsi="Arial" w:cs="Arial"/>
          <w:sz w:val="22"/>
          <w:szCs w:val="22"/>
          <w:lang w:val="de-CH"/>
        </w:rPr>
        <w:t xml:space="preserve">der drei alten AKW produziert. </w:t>
      </w:r>
    </w:p>
    <w:p w14:paraId="55C8614D" w14:textId="46B8E338" w:rsidR="00FB7FC7" w:rsidRPr="00700F34" w:rsidRDefault="00FB7FC7" w:rsidP="00FB7FC7">
      <w:pPr>
        <w:pStyle w:val="Listenabsatz"/>
        <w:widowControl w:val="0"/>
        <w:numPr>
          <w:ilvl w:val="0"/>
          <w:numId w:val="2"/>
        </w:numPr>
        <w:tabs>
          <w:tab w:val="left" w:pos="220"/>
          <w:tab w:val="left" w:pos="720"/>
        </w:tabs>
        <w:autoSpaceDE w:val="0"/>
        <w:autoSpaceDN w:val="0"/>
        <w:adjustRightInd w:val="0"/>
        <w:spacing w:after="320" w:line="276" w:lineRule="auto"/>
        <w:rPr>
          <w:rFonts w:ascii="Arial" w:hAnsi="Arial" w:cs="Arial"/>
          <w:sz w:val="22"/>
          <w:szCs w:val="22"/>
          <w:lang w:val="de-CH"/>
        </w:rPr>
      </w:pPr>
      <w:r w:rsidRPr="00700F34">
        <w:rPr>
          <w:rFonts w:ascii="Arial" w:hAnsi="Arial" w:cs="Arial"/>
          <w:sz w:val="22"/>
          <w:szCs w:val="22"/>
          <w:lang w:val="de-CH"/>
        </w:rPr>
        <w:t xml:space="preserve">Sehr gross ist das Einsparpotenzial in der Industrie und im Gewerbe. Allein durch den Ersatz alter Elektromotoren könnte der Stromverbrauch um 7,8 </w:t>
      </w:r>
      <w:proofErr w:type="spellStart"/>
      <w:r w:rsidRPr="00700F34">
        <w:rPr>
          <w:rFonts w:ascii="Arial" w:hAnsi="Arial" w:cs="Arial"/>
          <w:sz w:val="22"/>
          <w:szCs w:val="22"/>
          <w:lang w:val="de-CH"/>
        </w:rPr>
        <w:t>TWh</w:t>
      </w:r>
      <w:proofErr w:type="spellEnd"/>
      <w:r w:rsidRPr="00700F34">
        <w:rPr>
          <w:rFonts w:ascii="Arial" w:hAnsi="Arial" w:cs="Arial"/>
          <w:sz w:val="22"/>
          <w:szCs w:val="22"/>
          <w:lang w:val="de-CH"/>
        </w:rPr>
        <w:t xml:space="preserve"> pro Jahr gesenkt werden. Das entspricht fast </w:t>
      </w:r>
      <w:r w:rsidR="008148DA">
        <w:rPr>
          <w:rFonts w:ascii="Arial" w:hAnsi="Arial" w:cs="Arial"/>
          <w:sz w:val="22"/>
          <w:szCs w:val="22"/>
          <w:lang w:val="de-CH"/>
        </w:rPr>
        <w:t xml:space="preserve">der Produktion des AKW </w:t>
      </w:r>
      <w:proofErr w:type="spellStart"/>
      <w:r w:rsidR="008148DA">
        <w:rPr>
          <w:rFonts w:ascii="Arial" w:hAnsi="Arial" w:cs="Arial"/>
          <w:sz w:val="22"/>
          <w:szCs w:val="22"/>
          <w:lang w:val="de-CH"/>
        </w:rPr>
        <w:t>Gösgen</w:t>
      </w:r>
      <w:proofErr w:type="spellEnd"/>
      <w:r w:rsidR="008148DA">
        <w:rPr>
          <w:rFonts w:ascii="Arial" w:hAnsi="Arial" w:cs="Arial"/>
          <w:sz w:val="22"/>
          <w:szCs w:val="22"/>
          <w:lang w:val="de-CH"/>
        </w:rPr>
        <w:t xml:space="preserve">. </w:t>
      </w:r>
      <w:r w:rsidRPr="00700F34">
        <w:rPr>
          <w:rFonts w:ascii="Arial" w:hAnsi="Arial" w:cs="Arial"/>
          <w:sz w:val="22"/>
          <w:szCs w:val="22"/>
          <w:lang w:val="de-CH"/>
        </w:rPr>
        <w:t>Würde beim Ersatz alter Geräte und Maschinen jeweils immer das stromsparende Bestgerät gewählt (Bestgerätestrategie)</w:t>
      </w:r>
      <w:r w:rsidR="00860824">
        <w:rPr>
          <w:rFonts w:ascii="Arial" w:hAnsi="Arial" w:cs="Arial"/>
          <w:sz w:val="22"/>
          <w:szCs w:val="22"/>
          <w:lang w:val="de-CH"/>
        </w:rPr>
        <w:t xml:space="preserve"> werden, könnte man</w:t>
      </w:r>
      <w:r w:rsidRPr="00700F34">
        <w:rPr>
          <w:rFonts w:ascii="Arial" w:hAnsi="Arial" w:cs="Arial"/>
          <w:sz w:val="22"/>
          <w:szCs w:val="22"/>
          <w:lang w:val="de-CH"/>
        </w:rPr>
        <w:t xml:space="preserve"> bis 2035 25,8 </w:t>
      </w:r>
      <w:proofErr w:type="spellStart"/>
      <w:r w:rsidRPr="00700F34">
        <w:rPr>
          <w:rFonts w:ascii="Arial" w:hAnsi="Arial" w:cs="Arial"/>
          <w:sz w:val="22"/>
          <w:szCs w:val="22"/>
          <w:lang w:val="de-CH"/>
        </w:rPr>
        <w:t>TWh</w:t>
      </w:r>
      <w:proofErr w:type="spellEnd"/>
      <w:r w:rsidRPr="00700F34">
        <w:rPr>
          <w:rFonts w:ascii="Arial" w:hAnsi="Arial" w:cs="Arial"/>
          <w:sz w:val="22"/>
          <w:szCs w:val="22"/>
          <w:lang w:val="de-CH"/>
        </w:rPr>
        <w:t xml:space="preserve"> Strom jährlich </w:t>
      </w:r>
      <w:proofErr w:type="spellStart"/>
      <w:r w:rsidRPr="00700F34">
        <w:rPr>
          <w:rFonts w:ascii="Arial" w:hAnsi="Arial" w:cs="Arial"/>
          <w:sz w:val="22"/>
          <w:szCs w:val="22"/>
          <w:lang w:val="de-CH"/>
        </w:rPr>
        <w:t>eingespar</w:t>
      </w:r>
      <w:r w:rsidR="00860824">
        <w:rPr>
          <w:rFonts w:ascii="Arial" w:hAnsi="Arial" w:cs="Arial"/>
          <w:sz w:val="22"/>
          <w:szCs w:val="22"/>
          <w:lang w:val="de-CH"/>
        </w:rPr>
        <w:t>en</w:t>
      </w:r>
      <w:proofErr w:type="spellEnd"/>
      <w:r w:rsidRPr="00700F34">
        <w:rPr>
          <w:rFonts w:ascii="Arial" w:hAnsi="Arial" w:cs="Arial"/>
          <w:sz w:val="22"/>
          <w:szCs w:val="22"/>
          <w:lang w:val="de-CH"/>
        </w:rPr>
        <w:t>. Damit lassen sich alle AKW, die heute in Betrieb sind, ers</w:t>
      </w:r>
      <w:r w:rsidR="00DA3515" w:rsidRPr="00700F34">
        <w:rPr>
          <w:rFonts w:ascii="Arial" w:hAnsi="Arial" w:cs="Arial"/>
          <w:sz w:val="22"/>
          <w:szCs w:val="22"/>
          <w:lang w:val="de-CH"/>
        </w:rPr>
        <w:t>etzen.</w:t>
      </w:r>
    </w:p>
    <w:p w14:paraId="1C97A5BE" w14:textId="2701D91A" w:rsidR="00DE2DCC" w:rsidRPr="00DA3515" w:rsidRDefault="00DE2DCC" w:rsidP="00DE2DCC">
      <w:pPr>
        <w:widowControl w:val="0"/>
        <w:autoSpaceDE w:val="0"/>
        <w:autoSpaceDN w:val="0"/>
        <w:adjustRightInd w:val="0"/>
        <w:spacing w:after="240" w:line="260" w:lineRule="atLeast"/>
        <w:rPr>
          <w:rFonts w:ascii="Arial" w:hAnsi="Arial" w:cs="Arial"/>
          <w:sz w:val="22"/>
          <w:szCs w:val="22"/>
        </w:rPr>
      </w:pPr>
    </w:p>
    <w:sectPr w:rsidR="00DE2DCC" w:rsidRPr="00DA3515" w:rsidSect="000635A8">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43A2440"/>
    <w:multiLevelType w:val="hybridMultilevel"/>
    <w:tmpl w:val="436C19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D456024"/>
    <w:multiLevelType w:val="hybridMultilevel"/>
    <w:tmpl w:val="8940FE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DCC"/>
    <w:rsid w:val="000635A8"/>
    <w:rsid w:val="002308B6"/>
    <w:rsid w:val="00421B39"/>
    <w:rsid w:val="00613F04"/>
    <w:rsid w:val="00700F34"/>
    <w:rsid w:val="00796D04"/>
    <w:rsid w:val="008148DA"/>
    <w:rsid w:val="00860824"/>
    <w:rsid w:val="009A0C5A"/>
    <w:rsid w:val="00A40891"/>
    <w:rsid w:val="00A66762"/>
    <w:rsid w:val="00A82D7A"/>
    <w:rsid w:val="00B61F33"/>
    <w:rsid w:val="00B94B8F"/>
    <w:rsid w:val="00BF448C"/>
    <w:rsid w:val="00C04C97"/>
    <w:rsid w:val="00C965F2"/>
    <w:rsid w:val="00CE030D"/>
    <w:rsid w:val="00D165D3"/>
    <w:rsid w:val="00D5019D"/>
    <w:rsid w:val="00D5094E"/>
    <w:rsid w:val="00DA3515"/>
    <w:rsid w:val="00DE2DCC"/>
    <w:rsid w:val="00EC4791"/>
    <w:rsid w:val="00EE4216"/>
    <w:rsid w:val="00FB7FC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7B10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E2DCC"/>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DE2DCC"/>
    <w:rPr>
      <w:rFonts w:ascii="Lucida Grande" w:hAnsi="Lucida Grande" w:cs="Lucida Grande"/>
      <w:sz w:val="18"/>
      <w:szCs w:val="18"/>
    </w:rPr>
  </w:style>
  <w:style w:type="table" w:styleId="Tabellenraster">
    <w:name w:val="Table Grid"/>
    <w:basedOn w:val="NormaleTabelle"/>
    <w:uiPriority w:val="59"/>
    <w:rsid w:val="00FB7F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B7F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DE2DCC"/>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DE2DCC"/>
    <w:rPr>
      <w:rFonts w:ascii="Lucida Grande" w:hAnsi="Lucida Grande" w:cs="Lucida Grande"/>
      <w:sz w:val="18"/>
      <w:szCs w:val="18"/>
    </w:rPr>
  </w:style>
  <w:style w:type="table" w:styleId="Tabellenraster">
    <w:name w:val="Table Grid"/>
    <w:basedOn w:val="NormaleTabelle"/>
    <w:uiPriority w:val="59"/>
    <w:rsid w:val="00FB7F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B7F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970</Words>
  <Characters>6113</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 Weber</dc:creator>
  <cp:keywords/>
  <dc:description/>
  <cp:lastModifiedBy>Opacic Aleksandra (opac)</cp:lastModifiedBy>
  <cp:revision>22</cp:revision>
  <dcterms:created xsi:type="dcterms:W3CDTF">2016-04-08T10:34:00Z</dcterms:created>
  <dcterms:modified xsi:type="dcterms:W3CDTF">2016-10-31T10:21:00Z</dcterms:modified>
</cp:coreProperties>
</file>