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12" w:rsidRDefault="00AB7AE2" w:rsidP="00400E46">
      <w:pPr>
        <w:jc w:val="right"/>
      </w:pPr>
      <w:r>
        <w:t>30</w:t>
      </w:r>
      <w:bookmarkStart w:id="0" w:name="_GoBack"/>
      <w:bookmarkEnd w:id="0"/>
      <w:r w:rsidR="0063323D">
        <w:t>.01.2014</w:t>
      </w:r>
    </w:p>
    <w:p w:rsidR="00E673F3" w:rsidRDefault="000D2A12" w:rsidP="000D2A12">
      <w:pPr>
        <w:pStyle w:val="Titel"/>
        <w:rPr>
          <w:sz w:val="36"/>
          <w:szCs w:val="36"/>
        </w:rPr>
      </w:pPr>
      <w:r w:rsidRPr="000D2A12">
        <w:rPr>
          <w:sz w:val="36"/>
          <w:szCs w:val="36"/>
        </w:rPr>
        <w:t>Vernehmlassung zum Gesundheitsberufegesetz</w:t>
      </w:r>
      <w:r>
        <w:rPr>
          <w:sz w:val="36"/>
          <w:szCs w:val="36"/>
        </w:rPr>
        <w:t xml:space="preserve"> GesBG</w:t>
      </w:r>
      <w:r w:rsidRPr="000D2A12">
        <w:rPr>
          <w:sz w:val="36"/>
          <w:szCs w:val="36"/>
        </w:rPr>
        <w:t xml:space="preserve"> </w:t>
      </w:r>
    </w:p>
    <w:p w:rsidR="000D2A12" w:rsidRDefault="000D2A12" w:rsidP="000D2A12">
      <w:pPr>
        <w:pStyle w:val="berschrift1"/>
      </w:pPr>
      <w:r>
        <w:t>Kurzbeurteilung</w:t>
      </w:r>
    </w:p>
    <w:p w:rsidR="000D2A12" w:rsidRDefault="000D2A12" w:rsidP="000D2A12">
      <w:r>
        <w:t>Dieses Dokument ist eine Kurzfassung der gemeinsamen Empfehlungen der in der Kopfzeile aufgeführten Organisationen und Verbände</w:t>
      </w:r>
      <w:r w:rsidR="009B4A50">
        <w:t xml:space="preserve">. </w:t>
      </w:r>
    </w:p>
    <w:p w:rsidR="000D2A12" w:rsidRDefault="000D2A12" w:rsidP="000D2A12">
      <w:pPr>
        <w:pStyle w:val="berschrift3"/>
      </w:pPr>
      <w:r>
        <w:t>Allgemeine Stellungnahme</w:t>
      </w:r>
    </w:p>
    <w:p w:rsidR="00D27F01" w:rsidRDefault="00F84F08" w:rsidP="000D2A12">
      <w:pPr>
        <w:widowControl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Wir begrüssen den vorliegenden Entwurf und beurteilen ihn grundsätzlich als positiv. Insbesondere begrüssen wir </w:t>
      </w:r>
    </w:p>
    <w:p w:rsidR="000D2A12" w:rsidRDefault="00F84F08" w:rsidP="00D27F01">
      <w:pPr>
        <w:pStyle w:val="Listenabsatz"/>
        <w:widowControl w:val="0"/>
        <w:numPr>
          <w:ilvl w:val="0"/>
          <w:numId w:val="1"/>
        </w:numPr>
        <w:rPr>
          <w:rFonts w:cstheme="minorHAnsi"/>
          <w:color w:val="000000"/>
        </w:rPr>
      </w:pPr>
      <w:r w:rsidRPr="00D27F01">
        <w:rPr>
          <w:rFonts w:cstheme="minorHAnsi"/>
          <w:color w:val="000000"/>
        </w:rPr>
        <w:t xml:space="preserve">die </w:t>
      </w:r>
      <w:r w:rsidR="00D27F01" w:rsidRPr="00D27F01">
        <w:rPr>
          <w:rFonts w:cstheme="minorHAnsi"/>
          <w:color w:val="000000"/>
        </w:rPr>
        <w:t>hohe Priorität</w:t>
      </w:r>
      <w:r w:rsidR="00D27F01">
        <w:rPr>
          <w:rFonts w:cstheme="minorHAnsi"/>
          <w:color w:val="000000"/>
        </w:rPr>
        <w:t>, die</w:t>
      </w:r>
      <w:r w:rsidR="00D27F01" w:rsidRPr="00D27F01">
        <w:rPr>
          <w:rFonts w:cstheme="minorHAnsi"/>
          <w:color w:val="000000"/>
        </w:rPr>
        <w:t xml:space="preserve"> der Patientensicherheit und der Versorgungsqualität</w:t>
      </w:r>
      <w:r w:rsidRPr="00D27F01">
        <w:rPr>
          <w:rFonts w:cstheme="minorHAnsi"/>
          <w:color w:val="000000"/>
        </w:rPr>
        <w:t xml:space="preserve"> </w:t>
      </w:r>
      <w:r w:rsidR="00D27F01">
        <w:rPr>
          <w:rFonts w:cstheme="minorHAnsi"/>
          <w:color w:val="000000"/>
        </w:rPr>
        <w:t>eingeräumt wird</w:t>
      </w:r>
    </w:p>
    <w:p w:rsidR="00400E46" w:rsidRDefault="00400E46" w:rsidP="00400E46">
      <w:pPr>
        <w:pStyle w:val="Listenabsatz"/>
        <w:widowControl w:val="0"/>
        <w:numPr>
          <w:ilvl w:val="0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die Definition der Abschlusskompetenzen, die sich an den Resultaten </w:t>
      </w:r>
      <w:r w:rsidR="00B55A17">
        <w:rPr>
          <w:rFonts w:cstheme="minorHAnsi"/>
          <w:color w:val="000000"/>
        </w:rPr>
        <w:t xml:space="preserve">des Projektes </w:t>
      </w:r>
      <w:r w:rsidR="00AD54B3">
        <w:rPr>
          <w:rFonts w:cstheme="minorHAnsi"/>
          <w:color w:val="000000"/>
        </w:rPr>
        <w:t>der Rektorenk</w:t>
      </w:r>
      <w:r>
        <w:rPr>
          <w:rFonts w:cstheme="minorHAnsi"/>
          <w:color w:val="000000"/>
        </w:rPr>
        <w:t>onferenz der Fachhochschulen</w:t>
      </w:r>
      <w:r w:rsidR="00B55A17">
        <w:rPr>
          <w:rFonts w:cstheme="minorHAnsi"/>
          <w:color w:val="000000"/>
        </w:rPr>
        <w:t xml:space="preserve"> der Schweiz</w:t>
      </w:r>
      <w:r>
        <w:rPr>
          <w:rFonts w:cstheme="minorHAnsi"/>
          <w:color w:val="000000"/>
        </w:rPr>
        <w:t xml:space="preserve"> (KFH) orientiert</w:t>
      </w:r>
    </w:p>
    <w:p w:rsidR="00400E46" w:rsidRDefault="00400E46" w:rsidP="00400E46">
      <w:pPr>
        <w:pStyle w:val="Listenabsatz"/>
        <w:widowControl w:val="0"/>
        <w:numPr>
          <w:ilvl w:val="0"/>
          <w:numId w:val="1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die Konkretisierung der Berufspflichten</w:t>
      </w:r>
    </w:p>
    <w:p w:rsidR="00EB6B7F" w:rsidRPr="00EF5201" w:rsidRDefault="00EB6B7F" w:rsidP="00EB6B7F">
      <w:pPr>
        <w:pStyle w:val="Listenabsatz"/>
        <w:widowControl w:val="0"/>
        <w:numPr>
          <w:ilvl w:val="0"/>
          <w:numId w:val="1"/>
        </w:numPr>
        <w:rPr>
          <w:rFonts w:cstheme="minorHAnsi"/>
          <w:color w:val="000000"/>
        </w:rPr>
      </w:pPr>
      <w:r w:rsidRPr="00EF5201">
        <w:rPr>
          <w:rFonts w:cstheme="minorHAnsi"/>
          <w:color w:val="000000"/>
        </w:rPr>
        <w:t>die Akkreditierung der Studiengänge</w:t>
      </w:r>
      <w:r w:rsidR="00400E46">
        <w:rPr>
          <w:rFonts w:cstheme="minorHAnsi"/>
          <w:color w:val="000000"/>
        </w:rPr>
        <w:t>.</w:t>
      </w:r>
    </w:p>
    <w:p w:rsidR="00D27F01" w:rsidRPr="00D27F01" w:rsidRDefault="00D27F01" w:rsidP="00D27F01">
      <w:pPr>
        <w:widowControl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Zusätzlich zu den vorgeschlagenen Regelungen schlagen wir die Aufnahme folgender weiterer Punkte ins GesBG vor:</w:t>
      </w:r>
    </w:p>
    <w:p w:rsidR="00D27F01" w:rsidRDefault="00D27F01" w:rsidP="00D27F01">
      <w:pPr>
        <w:pStyle w:val="berschrift3"/>
      </w:pPr>
      <w:r>
        <w:t>Regelung der Masterstufe</w:t>
      </w:r>
    </w:p>
    <w:p w:rsidR="00165C3B" w:rsidRDefault="00165C3B" w:rsidP="00165C3B">
      <w:r w:rsidRPr="00296CFC">
        <w:t xml:space="preserve">Die </w:t>
      </w:r>
      <w:r w:rsidR="004B5E79">
        <w:t>Aufnahme</w:t>
      </w:r>
      <w:r w:rsidRPr="00296CFC">
        <w:t xml:space="preserve"> der Master</w:t>
      </w:r>
      <w:r w:rsidR="00400E46">
        <w:t>s</w:t>
      </w:r>
      <w:r w:rsidR="004B5E79">
        <w:t>tudiengänge und -</w:t>
      </w:r>
      <w:r w:rsidRPr="00296CFC">
        <w:t xml:space="preserve">abschlüsse </w:t>
      </w:r>
      <w:r w:rsidR="00400E46">
        <w:t xml:space="preserve">analog zur Bachelorstufe </w:t>
      </w:r>
      <w:r w:rsidR="004B5E79">
        <w:t xml:space="preserve">in das GesBG </w:t>
      </w:r>
      <w:r w:rsidRPr="00296CFC">
        <w:t xml:space="preserve">ist Voraussetzung für eine Regelung einer erweiterten Berufstätigkeit mit vermehrten Kompetenzen (Advanced Practice), die </w:t>
      </w:r>
      <w:r w:rsidRPr="005F391B">
        <w:t>auf Verordnungsstufe</w:t>
      </w:r>
      <w:r w:rsidRPr="00296CFC">
        <w:t xml:space="preserve"> vorzusehen ist. </w:t>
      </w:r>
    </w:p>
    <w:p w:rsidR="000D2A12" w:rsidRDefault="000D2A12" w:rsidP="000D2A12">
      <w:pPr>
        <w:pStyle w:val="berschrift3"/>
      </w:pPr>
      <w:r>
        <w:t>Aktives Berufsregister</w:t>
      </w:r>
    </w:p>
    <w:p w:rsidR="000D2A12" w:rsidRDefault="000D2A12" w:rsidP="000D2A12">
      <w:pPr>
        <w:rPr>
          <w:iCs/>
        </w:rPr>
      </w:pPr>
      <w:r>
        <w:t xml:space="preserve">Wir verlangen die Einführung eines aktiven Berufsregisters auf nationaler Ebene. Das Register </w:t>
      </w:r>
      <w:r w:rsidRPr="00D46EA7">
        <w:rPr>
          <w:iCs/>
        </w:rPr>
        <w:t>dient dem Schutz und der Information von Patientinnen und Patienten, der Information von in- und ausländischen Stellen, der Qualitätssicherung sowie zu statistischen Zwecken.</w:t>
      </w:r>
    </w:p>
    <w:p w:rsidR="0088597A" w:rsidRDefault="0088597A" w:rsidP="0088597A">
      <w:pPr>
        <w:pStyle w:val="berschrift3"/>
      </w:pPr>
      <w:r>
        <w:t>Gesundheitsberufe-Kommission</w:t>
      </w:r>
    </w:p>
    <w:p w:rsidR="0088597A" w:rsidRPr="0088597A" w:rsidRDefault="0088597A" w:rsidP="0088597A">
      <w:r w:rsidRPr="00296CFC">
        <w:rPr>
          <w:rFonts w:cstheme="minorHAnsi"/>
          <w:color w:val="000000"/>
        </w:rPr>
        <w:t xml:space="preserve">Wir schlagen vor, dass </w:t>
      </w:r>
      <w:r>
        <w:rPr>
          <w:rFonts w:cstheme="minorHAnsi"/>
          <w:color w:val="000000"/>
        </w:rPr>
        <w:t>der</w:t>
      </w:r>
      <w:r w:rsidRPr="00296CFC">
        <w:rPr>
          <w:rFonts w:cstheme="minorHAnsi"/>
          <w:color w:val="000000"/>
        </w:rPr>
        <w:t xml:space="preserve"> Bundesrat </w:t>
      </w:r>
      <w:r>
        <w:rPr>
          <w:rFonts w:cstheme="minorHAnsi"/>
          <w:color w:val="000000"/>
        </w:rPr>
        <w:t>eine</w:t>
      </w:r>
      <w:r w:rsidRPr="00296CFC">
        <w:rPr>
          <w:rFonts w:cstheme="minorHAnsi"/>
          <w:color w:val="000000"/>
        </w:rPr>
        <w:t xml:space="preserve"> ständige Gesundheitsberufe-Kommission </w:t>
      </w:r>
      <w:r>
        <w:rPr>
          <w:rFonts w:cstheme="minorHAnsi"/>
          <w:color w:val="000000"/>
        </w:rPr>
        <w:t>einsetzt, welche die berufsspezifischen Kompetenzen regelt und die Weiterbildungspflichten definiert und kontrolliert.</w:t>
      </w:r>
      <w:r w:rsidRPr="00296CFC">
        <w:rPr>
          <w:rFonts w:cstheme="minorHAnsi"/>
          <w:color w:val="000000"/>
        </w:rPr>
        <w:t xml:space="preserve"> </w:t>
      </w:r>
    </w:p>
    <w:p w:rsidR="00B110D7" w:rsidRDefault="00B110D7" w:rsidP="00B110D7">
      <w:pPr>
        <w:pStyle w:val="berschrift3"/>
      </w:pPr>
      <w:r>
        <w:t>Konkretisierung der Weiterbildungspflicht</w:t>
      </w:r>
    </w:p>
    <w:p w:rsidR="00B110D7" w:rsidRDefault="00B110D7" w:rsidP="00B110D7">
      <w:pPr>
        <w:widowControl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Die Einhaltung der Berufspflichten soll auf Bundesebene geregelt werden. </w:t>
      </w:r>
      <w:r w:rsidRPr="00296CFC">
        <w:rPr>
          <w:rFonts w:cstheme="minorHAnsi"/>
          <w:color w:val="000000"/>
        </w:rPr>
        <w:t xml:space="preserve">Wichtig ist dabei insbesondere eine </w:t>
      </w:r>
      <w:r w:rsidRPr="00296CFC">
        <w:rPr>
          <w:rFonts w:cstheme="minorHAnsi"/>
          <w:i/>
          <w:color w:val="000000"/>
        </w:rPr>
        <w:t>Konkretisierung der Pflicht zu lebenslangem Lernen</w:t>
      </w:r>
      <w:r w:rsidRPr="00296CFC">
        <w:rPr>
          <w:rFonts w:cstheme="minorHAnsi"/>
          <w:color w:val="000000"/>
        </w:rPr>
        <w:t xml:space="preserve">. Die zu diesem Zweck vom Bundesrat zu erlassende Verordnung muss eine konkrete Verpflichtung zur kontinuierlichen aktiven Teilnahme an anerkannten Fort- und Weiterbildungsveranstaltungen enthalten. </w:t>
      </w:r>
    </w:p>
    <w:p w:rsidR="00BA28A5" w:rsidRDefault="00BA28A5" w:rsidP="00EF5201">
      <w:pPr>
        <w:pStyle w:val="berschrift3"/>
      </w:pPr>
      <w:r>
        <w:t>Erweiterung des Geltungsbereiches auf öffentlich-rechtliche Institutionen</w:t>
      </w:r>
    </w:p>
    <w:p w:rsidR="008415F0" w:rsidRDefault="00C7695D" w:rsidP="00B110D7">
      <w:pPr>
        <w:widowControl w:val="0"/>
        <w:rPr>
          <w:rFonts w:cstheme="minorHAnsi"/>
          <w:color w:val="000000"/>
        </w:rPr>
      </w:pPr>
      <w:r>
        <w:rPr>
          <w:rFonts w:cstheme="minorHAnsi"/>
          <w:color w:val="000000"/>
        </w:rPr>
        <w:t>Es ist</w:t>
      </w:r>
      <w:r w:rsidR="00BA28A5" w:rsidRPr="00296CFC">
        <w:rPr>
          <w:rFonts w:cstheme="minorHAnsi"/>
          <w:color w:val="000000"/>
        </w:rPr>
        <w:t xml:space="preserve"> nicht plausibel, dass sich die Regelung auf die privatwirtschaftliche Berufsausübung beschränkt. Öffentlich-rechtliche Institutionen des Gesundheitswesens unterscheiden sich in ihren Leistungen für </w:t>
      </w:r>
      <w:r w:rsidR="00BA28A5">
        <w:rPr>
          <w:rFonts w:cstheme="minorHAnsi"/>
          <w:color w:val="000000"/>
        </w:rPr>
        <w:t>Patientinnen und Patienten</w:t>
      </w:r>
      <w:r w:rsidR="00BA28A5" w:rsidRPr="00296CFC">
        <w:rPr>
          <w:rFonts w:cstheme="minorHAnsi"/>
          <w:color w:val="000000"/>
        </w:rPr>
        <w:t xml:space="preserve"> in keiner Hinsicht von privatwirtschaftlichen Institutionen des Gesundheitswesens mit öffentlichem Leistungsauftrag.</w:t>
      </w:r>
    </w:p>
    <w:p w:rsidR="009F3C50" w:rsidRPr="002856A0" w:rsidRDefault="009F3C50" w:rsidP="009F3C50">
      <w:pPr>
        <w:pStyle w:val="berschrift3"/>
      </w:pPr>
      <w:r w:rsidRPr="002856A0">
        <w:t xml:space="preserve">Berufsbezeichnungsschutz </w:t>
      </w:r>
    </w:p>
    <w:p w:rsidR="00EF5201" w:rsidRPr="00EF5201" w:rsidRDefault="009F3C50" w:rsidP="00EF5201">
      <w:r>
        <w:t xml:space="preserve">Der Schutz vor Täuschung und Irreführung von Personen, die Leistungen der Gesundheitsberufe in Anspruch nehmen, ist von zentraler Bedeutung. Deshalb soll </w:t>
      </w:r>
      <w:r w:rsidR="008415F0">
        <w:t xml:space="preserve">im Gesetz </w:t>
      </w:r>
      <w:r>
        <w:t>ein Berufsbezeichnungs</w:t>
      </w:r>
      <w:r w:rsidR="00A7552C">
        <w:t xml:space="preserve">schutz </w:t>
      </w:r>
      <w:r>
        <w:t>aufgenommen werden.</w:t>
      </w:r>
    </w:p>
    <w:sectPr w:rsidR="00EF5201" w:rsidRPr="00EF5201" w:rsidSect="00E673F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53" w:rsidRDefault="00C26053" w:rsidP="000D2A12">
      <w:pPr>
        <w:spacing w:after="0"/>
      </w:pPr>
      <w:r>
        <w:separator/>
      </w:r>
    </w:p>
  </w:endnote>
  <w:endnote w:type="continuationSeparator" w:id="0">
    <w:p w:rsidR="00C26053" w:rsidRDefault="00C26053" w:rsidP="000D2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53" w:rsidRDefault="00C26053" w:rsidP="000D2A12">
      <w:pPr>
        <w:spacing w:after="0"/>
      </w:pPr>
      <w:r>
        <w:separator/>
      </w:r>
    </w:p>
  </w:footnote>
  <w:footnote w:type="continuationSeparator" w:id="0">
    <w:p w:rsidR="00C26053" w:rsidRDefault="00C26053" w:rsidP="000D2A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12" w:rsidRDefault="000D2A12" w:rsidP="000D2A12">
    <w:pPr>
      <w:pStyle w:val="Fuzeile"/>
      <w:ind w:right="-377"/>
    </w:pPr>
    <w:r>
      <w:rPr>
        <w:rFonts w:ascii="Arial Narrow" w:hAnsi="Arial Narrow"/>
        <w:noProof/>
        <w:lang w:eastAsia="de-CH"/>
      </w:rPr>
      <w:drawing>
        <wp:inline distT="0" distB="0" distL="0" distR="0">
          <wp:extent cx="1296063" cy="487671"/>
          <wp:effectExtent l="0" t="0" r="0" b="8255"/>
          <wp:docPr id="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KG_deutsc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258" cy="49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rFonts w:ascii="Arial" w:hAnsi="Arial" w:cs="Arial"/>
        <w:noProof/>
        <w:sz w:val="20"/>
        <w:lang w:eastAsia="de-CH"/>
      </w:rPr>
      <w:drawing>
        <wp:inline distT="0" distB="0" distL="0" distR="0">
          <wp:extent cx="1510747" cy="542090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de_logo_c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565" cy="54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e-CH"/>
      </w:rPr>
      <w:drawing>
        <wp:inline distT="0" distB="0" distL="0" distR="0">
          <wp:extent cx="1407381" cy="452224"/>
          <wp:effectExtent l="0" t="0" r="2540" b="5080"/>
          <wp:docPr id="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E_logo_ohne_Ad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281" cy="452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0"/>
        <w:lang w:eastAsia="de-CH"/>
      </w:rPr>
      <w:drawing>
        <wp:inline distT="0" distB="0" distL="0" distR="0">
          <wp:extent cx="1558455" cy="514647"/>
          <wp:effectExtent l="0" t="0" r="3810" b="0"/>
          <wp:docPr id="8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rbig_2f (2)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929" cy="515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:rsidR="000D2A12" w:rsidRDefault="000D2A1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F61EE"/>
    <w:multiLevelType w:val="hybridMultilevel"/>
    <w:tmpl w:val="84425A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12"/>
    <w:rsid w:val="000613B6"/>
    <w:rsid w:val="000A7774"/>
    <w:rsid w:val="000C7ABA"/>
    <w:rsid w:val="000D2A12"/>
    <w:rsid w:val="00165C3B"/>
    <w:rsid w:val="00281937"/>
    <w:rsid w:val="002A7766"/>
    <w:rsid w:val="003638BD"/>
    <w:rsid w:val="0036765F"/>
    <w:rsid w:val="00376F2F"/>
    <w:rsid w:val="00400E46"/>
    <w:rsid w:val="004B5E79"/>
    <w:rsid w:val="005F391B"/>
    <w:rsid w:val="0063323D"/>
    <w:rsid w:val="00637B9C"/>
    <w:rsid w:val="006866DF"/>
    <w:rsid w:val="00727966"/>
    <w:rsid w:val="007367B0"/>
    <w:rsid w:val="00784A01"/>
    <w:rsid w:val="008415F0"/>
    <w:rsid w:val="0088597A"/>
    <w:rsid w:val="008940B6"/>
    <w:rsid w:val="009B4A50"/>
    <w:rsid w:val="009F3C50"/>
    <w:rsid w:val="00A7552C"/>
    <w:rsid w:val="00AB7AE2"/>
    <w:rsid w:val="00AD54B3"/>
    <w:rsid w:val="00B05174"/>
    <w:rsid w:val="00B110D7"/>
    <w:rsid w:val="00B55A17"/>
    <w:rsid w:val="00B9546C"/>
    <w:rsid w:val="00BA28A5"/>
    <w:rsid w:val="00C24EFA"/>
    <w:rsid w:val="00C26053"/>
    <w:rsid w:val="00C7695D"/>
    <w:rsid w:val="00D27F01"/>
    <w:rsid w:val="00DD7D6B"/>
    <w:rsid w:val="00E673F3"/>
    <w:rsid w:val="00EA7817"/>
    <w:rsid w:val="00EB6B7F"/>
    <w:rsid w:val="00ED7EF8"/>
    <w:rsid w:val="00EF5201"/>
    <w:rsid w:val="00F84F08"/>
    <w:rsid w:val="00F91E98"/>
    <w:rsid w:val="00FB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66DF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C7AB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66D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66DF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7ABA"/>
    <w:rPr>
      <w:rFonts w:eastAsiaTheme="majorEastAsia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66DF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66DF"/>
    <w:rPr>
      <w:rFonts w:eastAsiaTheme="majorEastAsia" w:cstheme="majorBidi"/>
      <w:b/>
      <w:bCs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866D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866DF"/>
    <w:rPr>
      <w:rFonts w:eastAsiaTheme="majorEastAsia" w:cstheme="majorBidi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6DF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6DF"/>
    <w:rPr>
      <w:rFonts w:eastAsiaTheme="majorEastAsia" w:cstheme="majorBidi"/>
      <w:i/>
      <w:iCs/>
      <w:spacing w:val="15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0D2A1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2A12"/>
  </w:style>
  <w:style w:type="paragraph" w:styleId="Fuzeile">
    <w:name w:val="footer"/>
    <w:basedOn w:val="Standard"/>
    <w:link w:val="FuzeileZchn"/>
    <w:uiPriority w:val="99"/>
    <w:unhideWhenUsed/>
    <w:rsid w:val="000D2A1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D2A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A1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A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7F0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65C3B"/>
    <w:pPr>
      <w:spacing w:after="0"/>
    </w:pPr>
    <w:rPr>
      <w:rFonts w:eastAsia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5C3B"/>
    <w:rPr>
      <w:rFonts w:eastAsia="Times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5C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66DF"/>
    <w:pPr>
      <w:spacing w:after="12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C7AB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866D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866DF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7ABA"/>
    <w:rPr>
      <w:rFonts w:eastAsiaTheme="majorEastAsia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866DF"/>
    <w:rPr>
      <w:rFonts w:eastAsiaTheme="majorEastAsia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866DF"/>
    <w:rPr>
      <w:rFonts w:eastAsiaTheme="majorEastAsia" w:cstheme="majorBidi"/>
      <w:b/>
      <w:bCs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6866D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866DF"/>
    <w:rPr>
      <w:rFonts w:eastAsiaTheme="majorEastAsia" w:cstheme="majorBidi"/>
      <w:spacing w:val="5"/>
      <w:kern w:val="28"/>
      <w:sz w:val="4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866DF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866DF"/>
    <w:rPr>
      <w:rFonts w:eastAsiaTheme="majorEastAsia" w:cstheme="majorBidi"/>
      <w:i/>
      <w:iCs/>
      <w:spacing w:val="15"/>
      <w:szCs w:val="24"/>
    </w:rPr>
  </w:style>
  <w:style w:type="paragraph" w:styleId="Kopfzeile">
    <w:name w:val="header"/>
    <w:basedOn w:val="Standard"/>
    <w:link w:val="KopfzeileZchn"/>
    <w:uiPriority w:val="99"/>
    <w:semiHidden/>
    <w:unhideWhenUsed/>
    <w:rsid w:val="000D2A1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D2A12"/>
  </w:style>
  <w:style w:type="paragraph" w:styleId="Fuzeile">
    <w:name w:val="footer"/>
    <w:basedOn w:val="Standard"/>
    <w:link w:val="FuzeileZchn"/>
    <w:uiPriority w:val="99"/>
    <w:unhideWhenUsed/>
    <w:rsid w:val="000D2A12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D2A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2A1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2A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27F0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165C3B"/>
    <w:pPr>
      <w:spacing w:after="0"/>
    </w:pPr>
    <w:rPr>
      <w:rFonts w:eastAsia="Times" w:cs="Times New Roman"/>
      <w:sz w:val="20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5C3B"/>
    <w:rPr>
      <w:rFonts w:eastAsia="Times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5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ZHAW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Sax</dc:creator>
  <cp:lastModifiedBy>Muritu Angelica (xmri)</cp:lastModifiedBy>
  <cp:revision>2</cp:revision>
  <dcterms:created xsi:type="dcterms:W3CDTF">2014-01-30T09:51:00Z</dcterms:created>
  <dcterms:modified xsi:type="dcterms:W3CDTF">2014-01-30T09:51:00Z</dcterms:modified>
</cp:coreProperties>
</file>